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DC01F" w14:textId="03A8D2B0" w:rsidR="00AC225B" w:rsidRPr="003F324E" w:rsidRDefault="68586FD2" w:rsidP="008D1B74">
      <w:pPr>
        <w:pStyle w:val="NormalWeb"/>
        <w:jc w:val="both"/>
        <w:rPr>
          <w:rStyle w:val="lev"/>
          <w:rFonts w:ascii="Calibri" w:hAnsi="Calibri" w:cs="Calibri"/>
          <w:b w:val="0"/>
          <w:bCs w:val="0"/>
        </w:rPr>
      </w:pPr>
      <w:r w:rsidRPr="003F324E">
        <w:rPr>
          <w:rStyle w:val="lev"/>
          <w:rFonts w:ascii="Calibri" w:hAnsi="Calibri" w:cs="Calibri"/>
          <w:b w:val="0"/>
          <w:bCs w:val="0"/>
        </w:rPr>
        <w:t xml:space="preserve">Enjeux et défis de la reconnaissance des droits des femmes dans les projets miniers en République de Guinée : Cas </w:t>
      </w:r>
      <w:r w:rsidR="00412449" w:rsidRPr="003F324E">
        <w:rPr>
          <w:rStyle w:val="lev"/>
          <w:rFonts w:ascii="Calibri" w:hAnsi="Calibri" w:cs="Calibri"/>
          <w:b w:val="0"/>
          <w:bCs w:val="0"/>
        </w:rPr>
        <w:t>du projet</w:t>
      </w:r>
      <w:r w:rsidR="00DD7602" w:rsidRPr="003F324E">
        <w:rPr>
          <w:rStyle w:val="lev"/>
          <w:rFonts w:ascii="Calibri" w:hAnsi="Calibri" w:cs="Calibri"/>
          <w:b w:val="0"/>
          <w:bCs w:val="0"/>
        </w:rPr>
        <w:t xml:space="preserve"> Simandou</w:t>
      </w:r>
    </w:p>
    <w:p w14:paraId="0C700BA5" w14:textId="596A30D6" w:rsidR="6A2E9E22" w:rsidRPr="003F324E" w:rsidRDefault="003632F1" w:rsidP="6A2E9E22">
      <w:pPr>
        <w:pStyle w:val="NormalWeb"/>
        <w:jc w:val="both"/>
        <w:rPr>
          <w:rStyle w:val="lev"/>
          <w:rFonts w:ascii="Calibri" w:hAnsi="Calibri" w:cs="Calibri"/>
        </w:rPr>
      </w:pPr>
      <w:r w:rsidRPr="003F324E">
        <w:rPr>
          <w:rStyle w:val="lev"/>
          <w:rFonts w:ascii="Calibri" w:hAnsi="Calibri" w:cs="Calibri"/>
        </w:rPr>
        <w:t xml:space="preserve">Fanta </w:t>
      </w:r>
      <w:r w:rsidR="00537A6A" w:rsidRPr="003F324E">
        <w:rPr>
          <w:rStyle w:val="lev"/>
          <w:rFonts w:ascii="Calibri" w:hAnsi="Calibri" w:cs="Calibri"/>
        </w:rPr>
        <w:t>Camara, Action Mines</w:t>
      </w:r>
      <w:r w:rsidR="003F324E">
        <w:rPr>
          <w:rStyle w:val="lev"/>
          <w:rFonts w:ascii="Calibri" w:hAnsi="Calibri" w:cs="Calibri"/>
        </w:rPr>
        <w:t xml:space="preserve"> Guinée</w:t>
      </w:r>
    </w:p>
    <w:p w14:paraId="67149132" w14:textId="62E546B5" w:rsidR="00B177ED" w:rsidRPr="003F324E" w:rsidRDefault="00B177ED" w:rsidP="008D1B74">
      <w:pPr>
        <w:pStyle w:val="NormalWeb"/>
        <w:jc w:val="both"/>
        <w:rPr>
          <w:rStyle w:val="lev"/>
          <w:rFonts w:ascii="Calibri" w:hAnsi="Calibri" w:cs="Calibri"/>
        </w:rPr>
      </w:pPr>
      <w:r w:rsidRPr="003F324E">
        <w:rPr>
          <w:rStyle w:val="lev"/>
          <w:rFonts w:ascii="Calibri" w:hAnsi="Calibri" w:cs="Calibri"/>
        </w:rPr>
        <w:t>Table des matières</w:t>
      </w:r>
    </w:p>
    <w:p w14:paraId="410BDA74" w14:textId="7E2BCDB5" w:rsidR="00C54347" w:rsidRPr="003F324E" w:rsidRDefault="00EE0489">
      <w:pPr>
        <w:pStyle w:val="TM1"/>
        <w:tabs>
          <w:tab w:val="right" w:leader="dot" w:pos="9062"/>
        </w:tabs>
        <w:rPr>
          <w:rFonts w:ascii="Calibri" w:eastAsiaTheme="minorEastAsia" w:hAnsi="Calibri" w:cs="Calibri"/>
          <w:noProof/>
          <w:lang w:val="en-GB" w:eastAsia="en-GB"/>
        </w:rPr>
      </w:pPr>
      <w:r w:rsidRPr="003F324E">
        <w:rPr>
          <w:rStyle w:val="lev"/>
          <w:rFonts w:ascii="Calibri" w:hAnsi="Calibri" w:cs="Calibri"/>
        </w:rPr>
        <w:fldChar w:fldCharType="begin"/>
      </w:r>
      <w:r w:rsidRPr="003F324E">
        <w:rPr>
          <w:rStyle w:val="lev"/>
          <w:rFonts w:ascii="Calibri" w:hAnsi="Calibri" w:cs="Calibri"/>
        </w:rPr>
        <w:instrText xml:space="preserve"> TOC \o "1-3" \h \z \u </w:instrText>
      </w:r>
      <w:r w:rsidRPr="003F324E">
        <w:rPr>
          <w:rStyle w:val="lev"/>
          <w:rFonts w:ascii="Calibri" w:hAnsi="Calibri" w:cs="Calibri"/>
        </w:rPr>
        <w:fldChar w:fldCharType="separate"/>
      </w:r>
      <w:hyperlink w:anchor="_Toc192575063" w:history="1">
        <w:r w:rsidR="00C54347" w:rsidRPr="003F324E">
          <w:rPr>
            <w:rStyle w:val="Lienhypertexte"/>
            <w:rFonts w:ascii="Calibri" w:hAnsi="Calibri" w:cs="Calibri"/>
            <w:b/>
            <w:bCs/>
            <w:noProof/>
          </w:rPr>
          <w:t>1. Introduction</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_Toc192575063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1</w:t>
        </w:r>
        <w:r w:rsidR="00C54347" w:rsidRPr="003F324E">
          <w:rPr>
            <w:rFonts w:ascii="Calibri" w:hAnsi="Calibri" w:cs="Calibri"/>
            <w:noProof/>
            <w:webHidden/>
          </w:rPr>
          <w:fldChar w:fldCharType="end"/>
        </w:r>
      </w:hyperlink>
    </w:p>
    <w:p w14:paraId="7EC86C24" w14:textId="7B978090" w:rsidR="00C54347" w:rsidRPr="003F324E" w:rsidRDefault="002B5F4F">
      <w:pPr>
        <w:pStyle w:val="TM1"/>
        <w:tabs>
          <w:tab w:val="right" w:leader="dot" w:pos="9062"/>
        </w:tabs>
        <w:rPr>
          <w:rFonts w:ascii="Calibri" w:eastAsiaTheme="minorEastAsia" w:hAnsi="Calibri" w:cs="Calibri"/>
          <w:noProof/>
          <w:lang w:val="en-GB" w:eastAsia="en-GB"/>
        </w:rPr>
      </w:pPr>
      <w:hyperlink w:anchor="_Toc192575064" w:history="1">
        <w:r w:rsidR="00C54347" w:rsidRPr="003F324E">
          <w:rPr>
            <w:rStyle w:val="Lienhypertexte"/>
            <w:rFonts w:ascii="Calibri" w:hAnsi="Calibri" w:cs="Calibri"/>
            <w:noProof/>
          </w:rPr>
          <w:t>2. Impact du projet Simandou sur les femmes</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_Toc192575064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2</w:t>
        </w:r>
        <w:r w:rsidR="00C54347" w:rsidRPr="003F324E">
          <w:rPr>
            <w:rFonts w:ascii="Calibri" w:hAnsi="Calibri" w:cs="Calibri"/>
            <w:noProof/>
            <w:webHidden/>
          </w:rPr>
          <w:fldChar w:fldCharType="end"/>
        </w:r>
      </w:hyperlink>
    </w:p>
    <w:p w14:paraId="69E99B0F" w14:textId="65CBB2B2" w:rsidR="00C54347" w:rsidRPr="003F324E" w:rsidRDefault="002B5F4F">
      <w:pPr>
        <w:pStyle w:val="TM1"/>
        <w:tabs>
          <w:tab w:val="right" w:leader="dot" w:pos="9062"/>
        </w:tabs>
        <w:rPr>
          <w:rFonts w:ascii="Calibri" w:eastAsiaTheme="minorEastAsia" w:hAnsi="Calibri" w:cs="Calibri"/>
          <w:noProof/>
          <w:lang w:val="en-GB" w:eastAsia="en-GB"/>
        </w:rPr>
      </w:pPr>
      <w:hyperlink w:anchor="_Toc192575065" w:history="1">
        <w:r w:rsidR="00C54347" w:rsidRPr="003F324E">
          <w:rPr>
            <w:rStyle w:val="Lienhypertexte"/>
            <w:rFonts w:ascii="Calibri" w:hAnsi="Calibri" w:cs="Calibri"/>
            <w:noProof/>
          </w:rPr>
          <w:t>3.Cadre juridique pertinent</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_Toc192575065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2</w:t>
        </w:r>
        <w:r w:rsidR="00C54347" w:rsidRPr="003F324E">
          <w:rPr>
            <w:rFonts w:ascii="Calibri" w:hAnsi="Calibri" w:cs="Calibri"/>
            <w:noProof/>
            <w:webHidden/>
          </w:rPr>
          <w:fldChar w:fldCharType="end"/>
        </w:r>
      </w:hyperlink>
    </w:p>
    <w:p w14:paraId="41EE8390" w14:textId="2A205A65" w:rsidR="00C54347" w:rsidRPr="003F324E" w:rsidRDefault="002B5F4F">
      <w:pPr>
        <w:pStyle w:val="TM1"/>
        <w:tabs>
          <w:tab w:val="right" w:leader="dot" w:pos="9062"/>
        </w:tabs>
        <w:rPr>
          <w:rFonts w:ascii="Calibri" w:eastAsiaTheme="minorEastAsia" w:hAnsi="Calibri" w:cs="Calibri"/>
          <w:noProof/>
          <w:lang w:val="en-GB" w:eastAsia="en-GB"/>
        </w:rPr>
      </w:pPr>
      <w:hyperlink w:anchor="_Toc192575066" w:history="1">
        <w:r w:rsidR="00C54347" w:rsidRPr="003F324E">
          <w:rPr>
            <w:rStyle w:val="Lienhypertexte"/>
            <w:rFonts w:ascii="Calibri" w:hAnsi="Calibri" w:cs="Calibri"/>
            <w:b/>
            <w:bCs/>
            <w:noProof/>
          </w:rPr>
          <w:t>4. Le projet Simandou : défis spécifiques pour les femmes</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_Toc192575066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4</w:t>
        </w:r>
        <w:r w:rsidR="00C54347" w:rsidRPr="003F324E">
          <w:rPr>
            <w:rFonts w:ascii="Calibri" w:hAnsi="Calibri" w:cs="Calibri"/>
            <w:noProof/>
            <w:webHidden/>
          </w:rPr>
          <w:fldChar w:fldCharType="end"/>
        </w:r>
      </w:hyperlink>
    </w:p>
    <w:p w14:paraId="763A017A" w14:textId="305B9298" w:rsidR="00C54347" w:rsidRPr="003F324E" w:rsidRDefault="002B5F4F">
      <w:pPr>
        <w:pStyle w:val="TM2"/>
        <w:tabs>
          <w:tab w:val="right" w:leader="dot" w:pos="9062"/>
        </w:tabs>
        <w:rPr>
          <w:rFonts w:ascii="Calibri" w:eastAsiaTheme="minorEastAsia" w:hAnsi="Calibri" w:cs="Calibri"/>
          <w:noProof/>
          <w:lang w:val="en-GB" w:eastAsia="en-GB"/>
        </w:rPr>
      </w:pPr>
      <w:hyperlink w:anchor="_Toc192575067" w:history="1">
        <w:r w:rsidR="00C54347" w:rsidRPr="003F324E">
          <w:rPr>
            <w:rStyle w:val="Lienhypertexte"/>
            <w:rFonts w:ascii="Calibri" w:hAnsi="Calibri" w:cs="Calibri"/>
            <w:b/>
            <w:bCs/>
            <w:noProof/>
          </w:rPr>
          <w:t>4.1 Insuffisance d'Accès à l’information</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_Toc192575067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4</w:t>
        </w:r>
        <w:r w:rsidR="00C54347" w:rsidRPr="003F324E">
          <w:rPr>
            <w:rFonts w:ascii="Calibri" w:hAnsi="Calibri" w:cs="Calibri"/>
            <w:noProof/>
            <w:webHidden/>
          </w:rPr>
          <w:fldChar w:fldCharType="end"/>
        </w:r>
      </w:hyperlink>
    </w:p>
    <w:p w14:paraId="2A57A12E" w14:textId="43A0BA4B" w:rsidR="00C54347" w:rsidRPr="003F324E" w:rsidRDefault="002B5F4F">
      <w:pPr>
        <w:pStyle w:val="TM2"/>
        <w:tabs>
          <w:tab w:val="right" w:leader="dot" w:pos="9062"/>
        </w:tabs>
        <w:rPr>
          <w:rFonts w:ascii="Calibri" w:eastAsiaTheme="minorEastAsia" w:hAnsi="Calibri" w:cs="Calibri"/>
          <w:noProof/>
          <w:lang w:val="en-GB" w:eastAsia="en-GB"/>
        </w:rPr>
      </w:pPr>
      <w:hyperlink w:anchor="_Toc192575068" w:history="1">
        <w:r w:rsidR="00C54347" w:rsidRPr="003F324E">
          <w:rPr>
            <w:rStyle w:val="Lienhypertexte"/>
            <w:rFonts w:ascii="Calibri" w:hAnsi="Calibri" w:cs="Calibri"/>
            <w:b/>
            <w:bCs/>
            <w:noProof/>
          </w:rPr>
          <w:t>4.2 Faible niveau de Consultation</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_Toc192575068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4</w:t>
        </w:r>
        <w:r w:rsidR="00C54347" w:rsidRPr="003F324E">
          <w:rPr>
            <w:rFonts w:ascii="Calibri" w:hAnsi="Calibri" w:cs="Calibri"/>
            <w:noProof/>
            <w:webHidden/>
          </w:rPr>
          <w:fldChar w:fldCharType="end"/>
        </w:r>
      </w:hyperlink>
    </w:p>
    <w:p w14:paraId="7ECF1EED" w14:textId="2A646A4C" w:rsidR="00C54347" w:rsidRPr="003F324E" w:rsidRDefault="002B5F4F">
      <w:pPr>
        <w:pStyle w:val="TM2"/>
        <w:tabs>
          <w:tab w:val="right" w:leader="dot" w:pos="9062"/>
        </w:tabs>
        <w:rPr>
          <w:rFonts w:ascii="Calibri" w:eastAsiaTheme="minorEastAsia" w:hAnsi="Calibri" w:cs="Calibri"/>
          <w:noProof/>
          <w:lang w:val="en-GB" w:eastAsia="en-GB"/>
        </w:rPr>
      </w:pPr>
      <w:hyperlink w:anchor="_Toc192575069" w:history="1">
        <w:r w:rsidR="00C54347" w:rsidRPr="003F324E">
          <w:rPr>
            <w:rStyle w:val="Lienhypertexte"/>
            <w:rFonts w:ascii="Calibri" w:hAnsi="Calibri" w:cs="Calibri"/>
            <w:b/>
            <w:bCs/>
            <w:noProof/>
          </w:rPr>
          <w:t>4.3 Implication et participation des femmes dans les instances du projet simandou</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_Toc192575069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4</w:t>
        </w:r>
        <w:r w:rsidR="00C54347" w:rsidRPr="003F324E">
          <w:rPr>
            <w:rFonts w:ascii="Calibri" w:hAnsi="Calibri" w:cs="Calibri"/>
            <w:noProof/>
            <w:webHidden/>
          </w:rPr>
          <w:fldChar w:fldCharType="end"/>
        </w:r>
      </w:hyperlink>
    </w:p>
    <w:p w14:paraId="6AE2534B" w14:textId="328389E4" w:rsidR="00C54347" w:rsidRPr="003F324E" w:rsidRDefault="002B5F4F">
      <w:pPr>
        <w:pStyle w:val="TM2"/>
        <w:tabs>
          <w:tab w:val="right" w:leader="dot" w:pos="9062"/>
        </w:tabs>
        <w:rPr>
          <w:rFonts w:ascii="Calibri" w:eastAsiaTheme="minorEastAsia" w:hAnsi="Calibri" w:cs="Calibri"/>
          <w:noProof/>
          <w:lang w:val="en-GB" w:eastAsia="en-GB"/>
        </w:rPr>
      </w:pPr>
      <w:hyperlink w:anchor="_Toc192575070" w:history="1">
        <w:r w:rsidR="00C54347" w:rsidRPr="003F324E">
          <w:rPr>
            <w:rStyle w:val="Lienhypertexte"/>
            <w:rFonts w:ascii="Calibri" w:hAnsi="Calibri" w:cs="Calibri"/>
            <w:b/>
            <w:bCs/>
            <w:noProof/>
          </w:rPr>
          <w:t>4.4 Faible Compensation des terres agricoles des femmes par le projet simandou</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_Toc192575070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4</w:t>
        </w:r>
        <w:r w:rsidR="00C54347" w:rsidRPr="003F324E">
          <w:rPr>
            <w:rFonts w:ascii="Calibri" w:hAnsi="Calibri" w:cs="Calibri"/>
            <w:noProof/>
            <w:webHidden/>
          </w:rPr>
          <w:fldChar w:fldCharType="end"/>
        </w:r>
      </w:hyperlink>
    </w:p>
    <w:p w14:paraId="07A2655A" w14:textId="0AC635C3" w:rsidR="00C54347" w:rsidRPr="003F324E" w:rsidRDefault="002B5F4F">
      <w:pPr>
        <w:pStyle w:val="TM2"/>
        <w:tabs>
          <w:tab w:val="right" w:leader="dot" w:pos="9062"/>
        </w:tabs>
        <w:rPr>
          <w:rFonts w:ascii="Calibri" w:eastAsiaTheme="minorEastAsia" w:hAnsi="Calibri" w:cs="Calibri"/>
          <w:noProof/>
          <w:lang w:val="en-GB" w:eastAsia="en-GB"/>
        </w:rPr>
      </w:pPr>
      <w:hyperlink w:anchor="_Toc192575071" w:history="1">
        <w:r w:rsidR="00C54347" w:rsidRPr="003F324E">
          <w:rPr>
            <w:rStyle w:val="Lienhypertexte"/>
            <w:rFonts w:ascii="Calibri" w:hAnsi="Calibri" w:cs="Calibri"/>
            <w:b/>
            <w:bCs/>
            <w:noProof/>
          </w:rPr>
          <w:t>4.5. Le manque d’accès des femmes aux mécanismes de gestion des plaintes et réclamation du projet simandou</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_Toc192575071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5</w:t>
        </w:r>
        <w:r w:rsidR="00C54347" w:rsidRPr="003F324E">
          <w:rPr>
            <w:rFonts w:ascii="Calibri" w:hAnsi="Calibri" w:cs="Calibri"/>
            <w:noProof/>
            <w:webHidden/>
          </w:rPr>
          <w:fldChar w:fldCharType="end"/>
        </w:r>
      </w:hyperlink>
    </w:p>
    <w:p w14:paraId="7C16DFF8" w14:textId="46636073" w:rsidR="00C54347" w:rsidRPr="003F324E" w:rsidRDefault="002B5F4F">
      <w:pPr>
        <w:pStyle w:val="TM1"/>
        <w:tabs>
          <w:tab w:val="right" w:leader="dot" w:pos="9062"/>
        </w:tabs>
        <w:rPr>
          <w:rFonts w:ascii="Calibri" w:eastAsiaTheme="minorEastAsia" w:hAnsi="Calibri" w:cs="Calibri"/>
          <w:noProof/>
          <w:lang w:val="en-GB" w:eastAsia="en-GB"/>
        </w:rPr>
      </w:pPr>
      <w:hyperlink w:anchor="_Toc192575072" w:history="1">
        <w:r w:rsidR="00C54347" w:rsidRPr="003F324E">
          <w:rPr>
            <w:rStyle w:val="Lienhypertexte"/>
            <w:rFonts w:ascii="Calibri" w:hAnsi="Calibri" w:cs="Calibri"/>
            <w:b/>
            <w:bCs/>
            <w:noProof/>
          </w:rPr>
          <w:t>6. Recommandations pour une meilleure inclusion des femmes</w:t>
        </w:r>
        <w:r w:rsidR="00C54347" w:rsidRPr="003F324E">
          <w:rPr>
            <w:rFonts w:ascii="Calibri" w:hAnsi="Calibri" w:cs="Calibri"/>
            <w:noProof/>
            <w:webHidden/>
          </w:rPr>
          <w:tab/>
        </w:r>
        <w:r w:rsidR="00C54347" w:rsidRPr="003F324E">
          <w:rPr>
            <w:rFonts w:ascii="Calibri" w:hAnsi="Calibri" w:cs="Calibri"/>
            <w:noProof/>
            <w:webHidden/>
          </w:rPr>
          <w:fldChar w:fldCharType="begin"/>
        </w:r>
        <w:r w:rsidR="00C54347" w:rsidRPr="003F324E">
          <w:rPr>
            <w:rFonts w:ascii="Calibri" w:hAnsi="Calibri" w:cs="Calibri"/>
            <w:noProof/>
            <w:webHidden/>
          </w:rPr>
          <w:instrText xml:space="preserve"> PAGEREF _Toc192575072 \h </w:instrText>
        </w:r>
        <w:r w:rsidR="00C54347" w:rsidRPr="003F324E">
          <w:rPr>
            <w:rFonts w:ascii="Calibri" w:hAnsi="Calibri" w:cs="Calibri"/>
            <w:noProof/>
            <w:webHidden/>
          </w:rPr>
        </w:r>
        <w:r w:rsidR="00C54347" w:rsidRPr="003F324E">
          <w:rPr>
            <w:rFonts w:ascii="Calibri" w:hAnsi="Calibri" w:cs="Calibri"/>
            <w:noProof/>
            <w:webHidden/>
          </w:rPr>
          <w:fldChar w:fldCharType="separate"/>
        </w:r>
        <w:r w:rsidR="00C54347" w:rsidRPr="003F324E">
          <w:rPr>
            <w:rFonts w:ascii="Calibri" w:hAnsi="Calibri" w:cs="Calibri"/>
            <w:noProof/>
            <w:webHidden/>
          </w:rPr>
          <w:t>5</w:t>
        </w:r>
        <w:r w:rsidR="00C54347" w:rsidRPr="003F324E">
          <w:rPr>
            <w:rFonts w:ascii="Calibri" w:hAnsi="Calibri" w:cs="Calibri"/>
            <w:noProof/>
            <w:webHidden/>
          </w:rPr>
          <w:fldChar w:fldCharType="end"/>
        </w:r>
      </w:hyperlink>
    </w:p>
    <w:p w14:paraId="7A0EE70F" w14:textId="1EBA5418" w:rsidR="00EE0489" w:rsidRPr="003F324E" w:rsidRDefault="00EE0489" w:rsidP="008D1B74">
      <w:pPr>
        <w:pStyle w:val="NormalWeb"/>
        <w:jc w:val="both"/>
        <w:rPr>
          <w:rStyle w:val="lev"/>
          <w:rFonts w:ascii="Calibri" w:hAnsi="Calibri" w:cs="Calibri"/>
        </w:rPr>
      </w:pPr>
      <w:r w:rsidRPr="003F324E">
        <w:rPr>
          <w:rStyle w:val="lev"/>
          <w:rFonts w:ascii="Calibri" w:hAnsi="Calibri" w:cs="Calibri"/>
        </w:rPr>
        <w:fldChar w:fldCharType="end"/>
      </w:r>
    </w:p>
    <w:p w14:paraId="7A102326" w14:textId="14FD0694" w:rsidR="00AC225B" w:rsidRPr="003F324E" w:rsidRDefault="00532131" w:rsidP="00F94845">
      <w:pPr>
        <w:pStyle w:val="Titre1"/>
        <w:rPr>
          <w:rStyle w:val="lev"/>
          <w:rFonts w:ascii="Calibri" w:eastAsiaTheme="minorHAnsi" w:hAnsi="Calibri" w:cs="Calibri"/>
          <w:color w:val="auto"/>
        </w:rPr>
      </w:pPr>
      <w:bookmarkStart w:id="0" w:name="_Toc192575063"/>
      <w:r w:rsidRPr="003F324E">
        <w:rPr>
          <w:rStyle w:val="lev"/>
          <w:rFonts w:ascii="Calibri" w:hAnsi="Calibri" w:cs="Calibri"/>
          <w:color w:val="auto"/>
        </w:rPr>
        <w:t xml:space="preserve">1. </w:t>
      </w:r>
      <w:r w:rsidR="00B97CC1" w:rsidRPr="003F324E">
        <w:rPr>
          <w:rStyle w:val="lev"/>
          <w:rFonts w:ascii="Calibri" w:hAnsi="Calibri" w:cs="Calibri"/>
          <w:color w:val="auto"/>
        </w:rPr>
        <w:t>Contexte</w:t>
      </w:r>
      <w:bookmarkEnd w:id="0"/>
    </w:p>
    <w:p w14:paraId="68CEB02C" w14:textId="30D70093" w:rsidR="00B97CC1" w:rsidRPr="003F324E" w:rsidRDefault="00371360" w:rsidP="008D1B74">
      <w:pPr>
        <w:pStyle w:val="NormalWeb"/>
        <w:jc w:val="both"/>
        <w:rPr>
          <w:rFonts w:ascii="Calibri" w:hAnsi="Calibri" w:cs="Calibri"/>
          <w:b/>
          <w:bCs/>
        </w:rPr>
      </w:pPr>
      <w:r w:rsidRPr="003F324E">
        <w:rPr>
          <w:rFonts w:ascii="Calibri" w:hAnsi="Calibri" w:cs="Calibri"/>
        </w:rPr>
        <w:t>La Guinée est une référence mondiale dans le secteur minier, caractérisé par l’abondance et la diversité de ses ressources. Le pays dispose d’un potentiel géologique exceptionnel, notamment en bauxite, or, diamant et fer.</w:t>
      </w:r>
      <w:r w:rsidR="00FD34DA" w:rsidRPr="003F324E">
        <w:rPr>
          <w:rFonts w:ascii="Calibri" w:hAnsi="Calibri" w:cs="Calibri"/>
          <w:b/>
          <w:bCs/>
        </w:rPr>
        <w:t xml:space="preserve"> </w:t>
      </w:r>
    </w:p>
    <w:p w14:paraId="4CF153F8" w14:textId="6D99D812" w:rsidR="007E6F66" w:rsidRPr="003F324E" w:rsidRDefault="00371360" w:rsidP="008D1B74">
      <w:pPr>
        <w:pStyle w:val="NormalWeb"/>
        <w:jc w:val="both"/>
        <w:rPr>
          <w:rFonts w:ascii="Calibri" w:hAnsi="Calibri" w:cs="Calibri"/>
          <w:b/>
        </w:rPr>
      </w:pPr>
      <w:r w:rsidRPr="003F324E">
        <w:rPr>
          <w:rFonts w:ascii="Calibri" w:hAnsi="Calibri" w:cs="Calibri"/>
          <w:b/>
          <w:bCs/>
        </w:rPr>
        <w:t>Bauxite</w:t>
      </w:r>
      <w:r w:rsidRPr="003F324E">
        <w:rPr>
          <w:rFonts w:ascii="Calibri" w:hAnsi="Calibri" w:cs="Calibri"/>
        </w:rPr>
        <w:t xml:space="preserve"> : La Guinée détient plus d’un tiers des réserves mondiales</w:t>
      </w:r>
      <w:r w:rsidR="00F92A72" w:rsidRPr="003F324E">
        <w:rPr>
          <w:rFonts w:ascii="Calibri" w:hAnsi="Calibri" w:cs="Calibri"/>
        </w:rPr>
        <w:t xml:space="preserve"> de bauxite</w:t>
      </w:r>
      <w:r w:rsidRPr="003F324E">
        <w:rPr>
          <w:rFonts w:ascii="Calibri" w:hAnsi="Calibri" w:cs="Calibri"/>
        </w:rPr>
        <w:t xml:space="preserve">, soit près de </w:t>
      </w:r>
      <w:r w:rsidRPr="003F324E">
        <w:rPr>
          <w:rFonts w:ascii="Calibri" w:hAnsi="Calibri" w:cs="Calibri"/>
          <w:b/>
          <w:bCs/>
        </w:rPr>
        <w:t>40 milliards de tonnes</w:t>
      </w:r>
      <w:r w:rsidRPr="003F324E">
        <w:rPr>
          <w:rFonts w:ascii="Calibri" w:hAnsi="Calibri" w:cs="Calibri"/>
        </w:rPr>
        <w:t xml:space="preserve">, avec une teneur supérieure à </w:t>
      </w:r>
      <w:r w:rsidRPr="003F324E">
        <w:rPr>
          <w:rFonts w:ascii="Calibri" w:hAnsi="Calibri" w:cs="Calibri"/>
          <w:b/>
          <w:bCs/>
        </w:rPr>
        <w:t>40 %</w:t>
      </w:r>
      <w:r w:rsidRPr="003F324E">
        <w:rPr>
          <w:rFonts w:ascii="Calibri" w:hAnsi="Calibri" w:cs="Calibri"/>
        </w:rPr>
        <w:t>.</w:t>
      </w:r>
      <w:r w:rsidR="00DF7590" w:rsidRPr="003F324E">
        <w:rPr>
          <w:rFonts w:ascii="Calibri" w:hAnsi="Calibri" w:cs="Calibri"/>
          <w:b/>
          <w:bCs/>
        </w:rPr>
        <w:t xml:space="preserve"> </w:t>
      </w:r>
      <w:r w:rsidRPr="003F324E">
        <w:rPr>
          <w:rFonts w:ascii="Calibri" w:hAnsi="Calibri" w:cs="Calibri"/>
          <w:b/>
          <w:bCs/>
        </w:rPr>
        <w:t>Or</w:t>
      </w:r>
      <w:r w:rsidRPr="003F324E">
        <w:rPr>
          <w:rFonts w:ascii="Calibri" w:hAnsi="Calibri" w:cs="Calibri"/>
        </w:rPr>
        <w:t xml:space="preserve"> : De haute qualité, il titre entre </w:t>
      </w:r>
      <w:r w:rsidRPr="003F324E">
        <w:rPr>
          <w:rFonts w:ascii="Calibri" w:hAnsi="Calibri" w:cs="Calibri"/>
          <w:b/>
          <w:bCs/>
        </w:rPr>
        <w:t>850 et 980‰</w:t>
      </w:r>
      <w:r w:rsidRPr="003F324E">
        <w:rPr>
          <w:rFonts w:ascii="Calibri" w:hAnsi="Calibri" w:cs="Calibri"/>
        </w:rPr>
        <w:t xml:space="preserve"> (20 à 23,5 carats).</w:t>
      </w:r>
      <w:r w:rsidR="008955B6" w:rsidRPr="003F324E">
        <w:rPr>
          <w:rFonts w:ascii="Calibri" w:hAnsi="Calibri" w:cs="Calibri"/>
          <w:b/>
          <w:bCs/>
        </w:rPr>
        <w:t xml:space="preserve"> </w:t>
      </w:r>
      <w:r w:rsidRPr="003F324E">
        <w:rPr>
          <w:rFonts w:ascii="Calibri" w:hAnsi="Calibri" w:cs="Calibri"/>
          <w:b/>
          <w:bCs/>
        </w:rPr>
        <w:t>Diamant</w:t>
      </w:r>
      <w:r w:rsidRPr="003F324E">
        <w:rPr>
          <w:rFonts w:ascii="Calibri" w:hAnsi="Calibri" w:cs="Calibri"/>
        </w:rPr>
        <w:t xml:space="preserve"> : Le pays possède des réserves prouvées</w:t>
      </w:r>
      <w:r w:rsidR="0024007A" w:rsidRPr="003F324E">
        <w:rPr>
          <w:rFonts w:ascii="Calibri" w:hAnsi="Calibri" w:cs="Calibri"/>
        </w:rPr>
        <w:t xml:space="preserve"> de diamant</w:t>
      </w:r>
      <w:r w:rsidRPr="003F324E">
        <w:rPr>
          <w:rFonts w:ascii="Calibri" w:hAnsi="Calibri" w:cs="Calibri"/>
        </w:rPr>
        <w:t xml:space="preserve"> de </w:t>
      </w:r>
      <w:r w:rsidRPr="003F324E">
        <w:rPr>
          <w:rFonts w:ascii="Calibri" w:hAnsi="Calibri" w:cs="Calibri"/>
          <w:b/>
          <w:bCs/>
        </w:rPr>
        <w:t>30 millions de carats</w:t>
      </w:r>
      <w:r w:rsidRPr="003F324E">
        <w:rPr>
          <w:rFonts w:ascii="Calibri" w:hAnsi="Calibri" w:cs="Calibri"/>
        </w:rPr>
        <w:t xml:space="preserve"> et des réserves probables dépassant </w:t>
      </w:r>
      <w:r w:rsidRPr="003F324E">
        <w:rPr>
          <w:rFonts w:ascii="Calibri" w:hAnsi="Calibri" w:cs="Calibri"/>
          <w:b/>
          <w:bCs/>
        </w:rPr>
        <w:t>500 millions de carats</w:t>
      </w:r>
      <w:r w:rsidRPr="003F324E">
        <w:rPr>
          <w:rFonts w:ascii="Calibri" w:hAnsi="Calibri" w:cs="Calibri"/>
        </w:rPr>
        <w:t>.</w:t>
      </w:r>
      <w:r w:rsidR="008955B6" w:rsidRPr="003F324E">
        <w:rPr>
          <w:rFonts w:ascii="Calibri" w:hAnsi="Calibri" w:cs="Calibri"/>
          <w:b/>
          <w:bCs/>
        </w:rPr>
        <w:t xml:space="preserve"> </w:t>
      </w:r>
      <w:r w:rsidRPr="003F324E">
        <w:rPr>
          <w:rFonts w:ascii="Calibri" w:hAnsi="Calibri" w:cs="Calibri"/>
          <w:b/>
        </w:rPr>
        <w:t>Fer</w:t>
      </w:r>
      <w:r w:rsidRPr="003F324E">
        <w:rPr>
          <w:rFonts w:ascii="Calibri" w:hAnsi="Calibri" w:cs="Calibri"/>
        </w:rPr>
        <w:t xml:space="preserve"> : La Guinée abrite les plus grands gisements inexploités de fer au monde, estimés à 20 milliards de tonnes, avec une teneur supérieure à 65 %. Le gisement de Simandou est considéré comme l’un des meilleurs au monde.</w:t>
      </w:r>
      <w:r w:rsidR="00771093" w:rsidRPr="003F324E">
        <w:rPr>
          <w:rFonts w:ascii="Calibri" w:hAnsi="Calibri" w:cs="Calibri"/>
        </w:rPr>
        <w:t xml:space="preserve"> </w:t>
      </w:r>
      <w:r w:rsidRPr="003F324E">
        <w:rPr>
          <w:rFonts w:ascii="Calibri" w:hAnsi="Calibri" w:cs="Calibri"/>
        </w:rPr>
        <w:t xml:space="preserve">Les principaux gisements de fer se situent au sud-est (Mont Simandou, Mont Nimba, Zogota) et au centre du pays (Kalia). </w:t>
      </w:r>
      <w:r w:rsidRPr="003F324E">
        <w:rPr>
          <w:rFonts w:ascii="Calibri" w:hAnsi="Calibri" w:cs="Calibri"/>
          <w:b/>
          <w:bCs/>
        </w:rPr>
        <w:t>Winning Consortium Simandou (WCS)</w:t>
      </w:r>
      <w:r w:rsidRPr="003F324E">
        <w:rPr>
          <w:rFonts w:ascii="Calibri" w:hAnsi="Calibri" w:cs="Calibri"/>
        </w:rPr>
        <w:t xml:space="preserve"> développe</w:t>
      </w:r>
      <w:r w:rsidR="00A33ADB" w:rsidRPr="003F324E">
        <w:rPr>
          <w:rFonts w:ascii="Calibri" w:hAnsi="Calibri" w:cs="Calibri"/>
        </w:rPr>
        <w:t>nt</w:t>
      </w:r>
      <w:r w:rsidRPr="003F324E">
        <w:rPr>
          <w:rFonts w:ascii="Calibri" w:hAnsi="Calibri" w:cs="Calibri"/>
        </w:rPr>
        <w:t xml:space="preserve"> les blocs </w:t>
      </w:r>
      <w:r w:rsidRPr="003F324E">
        <w:rPr>
          <w:rFonts w:ascii="Calibri" w:hAnsi="Calibri" w:cs="Calibri"/>
          <w:b/>
          <w:bCs/>
        </w:rPr>
        <w:t>1 et 2</w:t>
      </w:r>
      <w:r w:rsidR="00A86C2B" w:rsidRPr="003F324E">
        <w:rPr>
          <w:rFonts w:ascii="Calibri" w:hAnsi="Calibri" w:cs="Calibri"/>
          <w:b/>
          <w:bCs/>
        </w:rPr>
        <w:t xml:space="preserve"> et Rio Tinto Simfer les bocs</w:t>
      </w:r>
      <w:r w:rsidR="00A33ADB" w:rsidRPr="003F324E">
        <w:rPr>
          <w:rFonts w:ascii="Calibri" w:hAnsi="Calibri" w:cs="Calibri"/>
          <w:b/>
          <w:bCs/>
        </w:rPr>
        <w:t xml:space="preserve"> 3 et 4</w:t>
      </w:r>
      <w:r w:rsidRPr="003F324E">
        <w:rPr>
          <w:rFonts w:ascii="Calibri" w:hAnsi="Calibri" w:cs="Calibri"/>
        </w:rPr>
        <w:t xml:space="preserve"> de Simandou</w:t>
      </w:r>
      <w:r w:rsidR="00C83EBF" w:rsidRPr="003F324E">
        <w:rPr>
          <w:rFonts w:ascii="Calibri" w:hAnsi="Calibri" w:cs="Calibri"/>
        </w:rPr>
        <w:t xml:space="preserve"> situés </w:t>
      </w:r>
      <w:r w:rsidR="00A33ADB" w:rsidRPr="003F324E">
        <w:rPr>
          <w:rFonts w:ascii="Calibri" w:hAnsi="Calibri" w:cs="Calibri"/>
        </w:rPr>
        <w:t xml:space="preserve">dans la préfecture de </w:t>
      </w:r>
      <w:r w:rsidR="00412449" w:rsidRPr="003F324E">
        <w:rPr>
          <w:rFonts w:ascii="Calibri" w:hAnsi="Calibri" w:cs="Calibri"/>
        </w:rPr>
        <w:t>Kérouané,</w:t>
      </w:r>
      <w:r w:rsidRPr="003F324E">
        <w:rPr>
          <w:rFonts w:ascii="Calibri" w:hAnsi="Calibri" w:cs="Calibri"/>
        </w:rPr>
        <w:t xml:space="preserve"> WCS a signé plusieurs conventions avec le gouvernement guinéen en </w:t>
      </w:r>
      <w:r w:rsidRPr="003F324E">
        <w:rPr>
          <w:rFonts w:ascii="Calibri" w:hAnsi="Calibri" w:cs="Calibri"/>
          <w:b/>
          <w:bCs/>
        </w:rPr>
        <w:t>2019 et 2020</w:t>
      </w:r>
      <w:r w:rsidRPr="003F324E">
        <w:rPr>
          <w:rFonts w:ascii="Calibri" w:hAnsi="Calibri" w:cs="Calibri"/>
        </w:rPr>
        <w:t>, approuvées par l’Assemblée Nationale.</w:t>
      </w:r>
      <w:r w:rsidR="007E6F66" w:rsidRPr="003F324E">
        <w:rPr>
          <w:rStyle w:val="Appelnotedebasdep"/>
          <w:rFonts w:ascii="Calibri" w:hAnsi="Calibri" w:cs="Calibri"/>
        </w:rPr>
        <w:footnoteReference w:id="2"/>
      </w:r>
      <w:r w:rsidR="00223A3B" w:rsidRPr="003F324E">
        <w:rPr>
          <w:rFonts w:ascii="Calibri" w:hAnsi="Calibri" w:cs="Calibri"/>
        </w:rPr>
        <w:t xml:space="preserve"> </w:t>
      </w:r>
      <w:r w:rsidR="007E6F66" w:rsidRPr="003F324E">
        <w:rPr>
          <w:rFonts w:ascii="Calibri" w:hAnsi="Calibri" w:cs="Calibri"/>
        </w:rPr>
        <w:t>Les blocs 3 et 4 du gisement de Simandou</w:t>
      </w:r>
      <w:r w:rsidR="00EB34B1" w:rsidRPr="003F324E">
        <w:rPr>
          <w:rFonts w:ascii="Calibri" w:hAnsi="Calibri" w:cs="Calibri"/>
        </w:rPr>
        <w:t xml:space="preserve"> situés </w:t>
      </w:r>
      <w:r w:rsidR="00A33ADB" w:rsidRPr="003F324E">
        <w:rPr>
          <w:rFonts w:ascii="Calibri" w:hAnsi="Calibri" w:cs="Calibri"/>
        </w:rPr>
        <w:t xml:space="preserve">à </w:t>
      </w:r>
      <w:r w:rsidR="00A86C2B" w:rsidRPr="003F324E">
        <w:rPr>
          <w:rFonts w:ascii="Calibri" w:hAnsi="Calibri" w:cs="Calibri"/>
        </w:rPr>
        <w:t>B</w:t>
      </w:r>
      <w:r w:rsidR="00A33ADB" w:rsidRPr="003F324E">
        <w:rPr>
          <w:rFonts w:ascii="Calibri" w:hAnsi="Calibri" w:cs="Calibri"/>
        </w:rPr>
        <w:t>eyla</w:t>
      </w:r>
      <w:r w:rsidR="007E6F66" w:rsidRPr="003F324E">
        <w:rPr>
          <w:rFonts w:ascii="Calibri" w:hAnsi="Calibri" w:cs="Calibri"/>
        </w:rPr>
        <w:t xml:space="preserve">, exploités par Simfer S.A., une coentreprise entre </w:t>
      </w:r>
      <w:r w:rsidR="007E6F66" w:rsidRPr="003F324E">
        <w:rPr>
          <w:rFonts w:ascii="Calibri" w:hAnsi="Calibri" w:cs="Calibri"/>
          <w:b/>
          <w:bCs/>
        </w:rPr>
        <w:t>Rio Tinto</w:t>
      </w:r>
      <w:r w:rsidR="007E6F66" w:rsidRPr="003F324E">
        <w:rPr>
          <w:rFonts w:ascii="Calibri" w:hAnsi="Calibri" w:cs="Calibri"/>
        </w:rPr>
        <w:t xml:space="preserve">, Chalco </w:t>
      </w:r>
      <w:r w:rsidR="007E6F66" w:rsidRPr="003F324E">
        <w:rPr>
          <w:rFonts w:ascii="Calibri" w:hAnsi="Calibri" w:cs="Calibri"/>
        </w:rPr>
        <w:lastRenderedPageBreak/>
        <w:t>Iron Ore Holdings (CIOH) et le gouvernement guinéen, contiennent des réserves estimées à environ 1,5 milliard de tonnes de minerai de fer, avec une teneur moyenne de 65,3 % de fer.</w:t>
      </w:r>
      <w:r w:rsidR="00F9463A" w:rsidRPr="003F324E">
        <w:rPr>
          <w:rStyle w:val="Appelnotedebasdep"/>
          <w:rFonts w:ascii="Calibri" w:hAnsi="Calibri" w:cs="Calibri"/>
          <w:b/>
        </w:rPr>
        <w:footnoteReference w:id="3"/>
      </w:r>
    </w:p>
    <w:p w14:paraId="0EE1DDD1" w14:textId="77777777" w:rsidR="00735140" w:rsidRPr="003F324E" w:rsidRDefault="00735140" w:rsidP="00735140">
      <w:pPr>
        <w:rPr>
          <w:rFonts w:ascii="Calibri" w:hAnsi="Calibri" w:cs="Calibri"/>
        </w:rPr>
      </w:pPr>
      <w:r w:rsidRPr="003F324E">
        <w:rPr>
          <w:rFonts w:ascii="Calibri" w:hAnsi="Calibri" w:cs="Calibri"/>
          <w:b/>
          <w:bCs/>
        </w:rPr>
        <w:t>Le présent document vise à mettre en lumière les impacts subis par les femmes dans le cadre du projet Simandou. Il souligne leur exclusion des activités liées au projet, la non-prise en compte de leurs préoccupations, ainsi que le non-respect de leurs droits par rapport aux hommes.</w:t>
      </w:r>
    </w:p>
    <w:p w14:paraId="04D1E974" w14:textId="704FA48E" w:rsidR="00735140" w:rsidRPr="003F324E" w:rsidRDefault="00735140" w:rsidP="00735140">
      <w:pPr>
        <w:rPr>
          <w:rFonts w:ascii="Calibri" w:hAnsi="Calibri" w:cs="Calibri"/>
        </w:rPr>
      </w:pPr>
      <w:r w:rsidRPr="003F324E">
        <w:rPr>
          <w:rFonts w:ascii="Calibri" w:hAnsi="Calibri" w:cs="Calibri"/>
        </w:rPr>
        <w:t>Ce document a pour objectif non seulement de retracer les effets négatifs dont les femmes sont victimes, mais également d’attirer l’attention des parties prenantes sur la nécessité de prendre en compte les droits des femmes dans la mise en œuvre du projet. Il propose aussi des recommandations concrètes, dans l’espoir qu’elles soient prises en compte afin d’améliorer la situation et de promouvoir une meilleure équité entre les genres.</w:t>
      </w:r>
    </w:p>
    <w:p w14:paraId="15BA4774" w14:textId="6EC14722" w:rsidR="00735140" w:rsidRPr="003F324E" w:rsidRDefault="00735140" w:rsidP="00F94845">
      <w:pPr>
        <w:rPr>
          <w:rFonts w:ascii="Calibri" w:hAnsi="Calibri" w:cs="Calibri"/>
        </w:rPr>
      </w:pPr>
      <w:r w:rsidRPr="003F324E">
        <w:rPr>
          <w:rFonts w:ascii="Calibri" w:hAnsi="Calibri" w:cs="Calibri"/>
        </w:rPr>
        <w:t>Ce travail à combiné à la fois une analyse documentaire et des entretiens sur le terrain en marge des activités de suivi effectuées par Action Mines sur le terrain</w:t>
      </w:r>
      <w:r w:rsidR="00841060" w:rsidRPr="003F324E">
        <w:rPr>
          <w:rFonts w:ascii="Calibri" w:hAnsi="Calibri" w:cs="Calibri"/>
        </w:rPr>
        <w:t>.</w:t>
      </w:r>
    </w:p>
    <w:p w14:paraId="159C1E2A" w14:textId="46353160" w:rsidR="00FD6B00" w:rsidRDefault="00532131" w:rsidP="00F94845">
      <w:pPr>
        <w:pStyle w:val="Titre1"/>
        <w:rPr>
          <w:rFonts w:ascii="Calibri" w:hAnsi="Calibri" w:cs="Calibri"/>
          <w:b/>
          <w:bCs/>
          <w:color w:val="000000" w:themeColor="text1"/>
        </w:rPr>
      </w:pPr>
      <w:bookmarkStart w:id="1" w:name="_Toc192575064"/>
      <w:r w:rsidRPr="003F324E">
        <w:rPr>
          <w:rFonts w:ascii="Calibri" w:hAnsi="Calibri" w:cs="Calibri"/>
          <w:b/>
          <w:bCs/>
          <w:color w:val="000000" w:themeColor="text1"/>
        </w:rPr>
        <w:t xml:space="preserve">2. </w:t>
      </w:r>
      <w:bookmarkEnd w:id="1"/>
      <w:r w:rsidR="00895722" w:rsidRPr="003F324E">
        <w:rPr>
          <w:rFonts w:ascii="Calibri" w:hAnsi="Calibri" w:cs="Calibri"/>
          <w:b/>
          <w:bCs/>
          <w:color w:val="000000" w:themeColor="text1"/>
        </w:rPr>
        <w:t xml:space="preserve">Aperçus de l’impact du projet </w:t>
      </w:r>
      <w:r w:rsidR="00A86C2B" w:rsidRPr="003F324E">
        <w:rPr>
          <w:rFonts w:ascii="Calibri" w:hAnsi="Calibri" w:cs="Calibri"/>
          <w:b/>
          <w:bCs/>
          <w:color w:val="000000" w:themeColor="text1"/>
        </w:rPr>
        <w:t>Simandou</w:t>
      </w:r>
      <w:r w:rsidR="00895722" w:rsidRPr="003F324E">
        <w:rPr>
          <w:rFonts w:ascii="Calibri" w:hAnsi="Calibri" w:cs="Calibri"/>
          <w:b/>
          <w:bCs/>
          <w:color w:val="000000" w:themeColor="text1"/>
        </w:rPr>
        <w:t xml:space="preserve"> sur les femmes</w:t>
      </w:r>
    </w:p>
    <w:p w14:paraId="15ACCE07" w14:textId="77777777" w:rsidR="0013134D" w:rsidRDefault="0013134D" w:rsidP="0013134D">
      <w:pPr>
        <w:keepNext/>
        <w:spacing w:before="100" w:beforeAutospacing="1" w:after="100" w:afterAutospacing="1"/>
      </w:pPr>
      <w:r w:rsidRPr="0013134D">
        <w:rPr>
          <w:rFonts w:ascii="Times New Roman" w:eastAsia="Times New Roman" w:hAnsi="Times New Roman" w:cs="Times New Roman"/>
          <w:noProof/>
          <w:kern w:val="0"/>
          <w:lang w:eastAsia="fr-FR"/>
          <w14:ligatures w14:val="none"/>
        </w:rPr>
        <w:drawing>
          <wp:inline distT="0" distB="0" distL="0" distR="0" wp14:anchorId="3B4F7FA6" wp14:editId="30F946E3">
            <wp:extent cx="5760720" cy="38404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1B40A78" w14:textId="70E14800" w:rsidR="007D5414" w:rsidRPr="0013134D" w:rsidRDefault="0013134D" w:rsidP="0013134D">
      <w:pPr>
        <w:pStyle w:val="Lgende"/>
        <w:rPr>
          <w:rFonts w:ascii="Times New Roman" w:eastAsia="Times New Roman" w:hAnsi="Times New Roman" w:cs="Times New Roman"/>
          <w:kern w:val="0"/>
          <w:lang w:eastAsia="fr-FR"/>
          <w14:ligatures w14:val="none"/>
        </w:rPr>
      </w:pPr>
      <w:r>
        <w:t xml:space="preserve">Figure </w:t>
      </w:r>
      <w:fldSimple w:instr=" SEQ Figure \* ARABIC ">
        <w:r w:rsidR="00510710">
          <w:rPr>
            <w:noProof/>
          </w:rPr>
          <w:t>1</w:t>
        </w:r>
      </w:fldSimple>
      <w:r>
        <w:t xml:space="preserve"> Un champ agricole envahi par la boue sablonneuse issue des travaux d'infrastructure à </w:t>
      </w:r>
      <w:proofErr w:type="spellStart"/>
      <w:r>
        <w:t>Wattafrédou</w:t>
      </w:r>
      <w:proofErr w:type="spellEnd"/>
      <w:r>
        <w:t xml:space="preserve"> II (Beyla)</w:t>
      </w:r>
    </w:p>
    <w:p w14:paraId="294AFE89" w14:textId="72C4855D" w:rsidR="00A33ADB" w:rsidRPr="003F324E" w:rsidRDefault="00DD7602" w:rsidP="008D1B74">
      <w:pPr>
        <w:pStyle w:val="NormalWeb"/>
        <w:jc w:val="both"/>
        <w:rPr>
          <w:rFonts w:ascii="Calibri" w:hAnsi="Calibri" w:cs="Calibri"/>
        </w:rPr>
      </w:pPr>
      <w:r w:rsidRPr="003F324E">
        <w:rPr>
          <w:rFonts w:ascii="Calibri" w:hAnsi="Calibri" w:cs="Calibri"/>
        </w:rPr>
        <w:t>Le projet</w:t>
      </w:r>
      <w:r w:rsidR="003F6DD7" w:rsidRPr="003F324E">
        <w:rPr>
          <w:rFonts w:ascii="Calibri" w:hAnsi="Calibri" w:cs="Calibri"/>
        </w:rPr>
        <w:t xml:space="preserve"> </w:t>
      </w:r>
      <w:r w:rsidR="00EC64CC" w:rsidRPr="003F324E">
        <w:rPr>
          <w:rFonts w:ascii="Calibri" w:hAnsi="Calibri" w:cs="Calibri"/>
        </w:rPr>
        <w:t>S</w:t>
      </w:r>
      <w:r w:rsidR="003F6DD7" w:rsidRPr="003F324E">
        <w:rPr>
          <w:rFonts w:ascii="Calibri" w:hAnsi="Calibri" w:cs="Calibri"/>
        </w:rPr>
        <w:t>imandou</w:t>
      </w:r>
      <w:r w:rsidRPr="003F324E">
        <w:rPr>
          <w:rFonts w:ascii="Calibri" w:hAnsi="Calibri" w:cs="Calibri"/>
        </w:rPr>
        <w:t xml:space="preserve"> </w:t>
      </w:r>
      <w:r w:rsidR="00C919FC" w:rsidRPr="003F324E">
        <w:rPr>
          <w:rFonts w:ascii="Calibri" w:hAnsi="Calibri" w:cs="Calibri"/>
        </w:rPr>
        <w:t xml:space="preserve">avec toutes </w:t>
      </w:r>
      <w:r w:rsidR="00EA420B" w:rsidRPr="003F324E">
        <w:rPr>
          <w:rFonts w:ascii="Calibri" w:hAnsi="Calibri" w:cs="Calibri"/>
        </w:rPr>
        <w:t>s</w:t>
      </w:r>
      <w:r w:rsidR="00C919FC" w:rsidRPr="003F324E">
        <w:rPr>
          <w:rFonts w:ascii="Calibri" w:hAnsi="Calibri" w:cs="Calibri"/>
        </w:rPr>
        <w:t xml:space="preserve">es </w:t>
      </w:r>
      <w:r w:rsidR="00151064" w:rsidRPr="003F324E">
        <w:rPr>
          <w:rFonts w:ascii="Calibri" w:hAnsi="Calibri" w:cs="Calibri"/>
        </w:rPr>
        <w:t>opportunités</w:t>
      </w:r>
      <w:r w:rsidR="00C919FC" w:rsidRPr="003F324E">
        <w:rPr>
          <w:rFonts w:ascii="Calibri" w:hAnsi="Calibri" w:cs="Calibri"/>
        </w:rPr>
        <w:t xml:space="preserve"> pour la </w:t>
      </w:r>
      <w:r w:rsidR="00E07525" w:rsidRPr="003F324E">
        <w:rPr>
          <w:rFonts w:ascii="Calibri" w:hAnsi="Calibri" w:cs="Calibri"/>
        </w:rPr>
        <w:t>République de G</w:t>
      </w:r>
      <w:r w:rsidR="00C919FC" w:rsidRPr="003F324E">
        <w:rPr>
          <w:rFonts w:ascii="Calibri" w:hAnsi="Calibri" w:cs="Calibri"/>
        </w:rPr>
        <w:t xml:space="preserve">uinée, </w:t>
      </w:r>
      <w:r w:rsidR="003F6DD7" w:rsidRPr="003F324E">
        <w:rPr>
          <w:rFonts w:ascii="Calibri" w:hAnsi="Calibri" w:cs="Calibri"/>
        </w:rPr>
        <w:t>est</w:t>
      </w:r>
      <w:r w:rsidRPr="003F324E">
        <w:rPr>
          <w:rFonts w:ascii="Calibri" w:hAnsi="Calibri" w:cs="Calibri"/>
        </w:rPr>
        <w:t xml:space="preserve"> perçu comme </w:t>
      </w:r>
      <w:r w:rsidR="003F6DD7" w:rsidRPr="003F324E">
        <w:rPr>
          <w:rFonts w:ascii="Calibri" w:hAnsi="Calibri" w:cs="Calibri"/>
        </w:rPr>
        <w:t>un moteur</w:t>
      </w:r>
      <w:r w:rsidRPr="003F324E">
        <w:rPr>
          <w:rFonts w:ascii="Calibri" w:hAnsi="Calibri" w:cs="Calibri"/>
        </w:rPr>
        <w:t xml:space="preserve"> de développement économique</w:t>
      </w:r>
      <w:r w:rsidR="00EC64CC" w:rsidRPr="003F324E">
        <w:rPr>
          <w:rFonts w:ascii="Calibri" w:hAnsi="Calibri" w:cs="Calibri"/>
        </w:rPr>
        <w:t xml:space="preserve"> pour le pays</w:t>
      </w:r>
      <w:r w:rsidRPr="003F324E">
        <w:rPr>
          <w:rFonts w:ascii="Calibri" w:hAnsi="Calibri" w:cs="Calibri"/>
        </w:rPr>
        <w:t xml:space="preserve">. Cependant, les impacts </w:t>
      </w:r>
      <w:r w:rsidR="00532F5C" w:rsidRPr="003F324E">
        <w:rPr>
          <w:rFonts w:ascii="Calibri" w:hAnsi="Calibri" w:cs="Calibri"/>
        </w:rPr>
        <w:t>d</w:t>
      </w:r>
      <w:r w:rsidR="003F6DD7" w:rsidRPr="003F324E">
        <w:rPr>
          <w:rFonts w:ascii="Calibri" w:hAnsi="Calibri" w:cs="Calibri"/>
        </w:rPr>
        <w:t xml:space="preserve">e </w:t>
      </w:r>
      <w:r w:rsidR="003F6DD7" w:rsidRPr="003F324E">
        <w:rPr>
          <w:rFonts w:ascii="Calibri" w:hAnsi="Calibri" w:cs="Calibri"/>
        </w:rPr>
        <w:lastRenderedPageBreak/>
        <w:t xml:space="preserve">ce </w:t>
      </w:r>
      <w:r w:rsidR="00532F5C" w:rsidRPr="003F324E">
        <w:rPr>
          <w:rFonts w:ascii="Calibri" w:hAnsi="Calibri" w:cs="Calibri"/>
        </w:rPr>
        <w:t xml:space="preserve">projet </w:t>
      </w:r>
      <w:r w:rsidRPr="003F324E">
        <w:rPr>
          <w:rFonts w:ascii="Calibri" w:hAnsi="Calibri" w:cs="Calibri"/>
        </w:rPr>
        <w:t>sur les communautés locales, en particulier sur les femmes</w:t>
      </w:r>
      <w:r w:rsidR="00764335" w:rsidRPr="003F324E">
        <w:rPr>
          <w:rFonts w:ascii="Calibri" w:hAnsi="Calibri" w:cs="Calibri"/>
        </w:rPr>
        <w:t>,</w:t>
      </w:r>
      <w:r w:rsidR="003F6DD7" w:rsidRPr="003F324E">
        <w:rPr>
          <w:rFonts w:ascii="Calibri" w:hAnsi="Calibri" w:cs="Calibri"/>
        </w:rPr>
        <w:t xml:space="preserve"> </w:t>
      </w:r>
      <w:r w:rsidR="00764335" w:rsidRPr="003F324E">
        <w:rPr>
          <w:rFonts w:ascii="Calibri" w:hAnsi="Calibri" w:cs="Calibri"/>
        </w:rPr>
        <w:t>sont</w:t>
      </w:r>
      <w:r w:rsidR="003F6DD7" w:rsidRPr="003F324E">
        <w:rPr>
          <w:rFonts w:ascii="Calibri" w:hAnsi="Calibri" w:cs="Calibri"/>
        </w:rPr>
        <w:t xml:space="preserve"> souvent</w:t>
      </w:r>
      <w:r w:rsidRPr="003F324E">
        <w:rPr>
          <w:rFonts w:ascii="Calibri" w:hAnsi="Calibri" w:cs="Calibri"/>
        </w:rPr>
        <w:t xml:space="preserve"> négligés et peuvent être profondément négatifs. </w:t>
      </w:r>
    </w:p>
    <w:p w14:paraId="691BE9AB" w14:textId="2067A5EC" w:rsidR="003F6DD7" w:rsidRPr="003F324E" w:rsidRDefault="00A33ADB" w:rsidP="008D1B74">
      <w:pPr>
        <w:pStyle w:val="NormalWeb"/>
        <w:jc w:val="both"/>
        <w:rPr>
          <w:rFonts w:ascii="Calibri" w:hAnsi="Calibri" w:cs="Calibri"/>
        </w:rPr>
      </w:pPr>
      <w:r w:rsidRPr="003F324E">
        <w:rPr>
          <w:rFonts w:ascii="Calibri" w:hAnsi="Calibri" w:cs="Calibri"/>
        </w:rPr>
        <w:t xml:space="preserve">Le projet </w:t>
      </w:r>
      <w:r w:rsidR="00A86C2B" w:rsidRPr="003F324E">
        <w:rPr>
          <w:rFonts w:ascii="Calibri" w:hAnsi="Calibri" w:cs="Calibri"/>
        </w:rPr>
        <w:t>Simandou</w:t>
      </w:r>
      <w:r w:rsidRPr="003F324E">
        <w:rPr>
          <w:rFonts w:ascii="Calibri" w:hAnsi="Calibri" w:cs="Calibri"/>
        </w:rPr>
        <w:t xml:space="preserve"> avec ces trois </w:t>
      </w:r>
      <w:r w:rsidR="00895722" w:rsidRPr="003F324E">
        <w:rPr>
          <w:rFonts w:ascii="Calibri" w:hAnsi="Calibri" w:cs="Calibri"/>
        </w:rPr>
        <w:t>composantes mines</w:t>
      </w:r>
      <w:r w:rsidRPr="003F324E">
        <w:rPr>
          <w:rFonts w:ascii="Calibri" w:hAnsi="Calibri" w:cs="Calibri"/>
        </w:rPr>
        <w:t>, chemin de fer et port pose des impacts plus rependus sur les populations riveraines</w:t>
      </w:r>
      <w:r w:rsidR="00F957CC" w:rsidRPr="003F324E">
        <w:rPr>
          <w:rFonts w:ascii="Calibri" w:hAnsi="Calibri" w:cs="Calibri"/>
        </w:rPr>
        <w:t>,</w:t>
      </w:r>
      <w:r w:rsidRPr="003F324E">
        <w:rPr>
          <w:rFonts w:ascii="Calibri" w:hAnsi="Calibri" w:cs="Calibri"/>
        </w:rPr>
        <w:t xml:space="preserve"> </w:t>
      </w:r>
      <w:r w:rsidR="00F957CC" w:rsidRPr="003F324E">
        <w:rPr>
          <w:rFonts w:ascii="Calibri" w:hAnsi="Calibri" w:cs="Calibri"/>
        </w:rPr>
        <w:t>e</w:t>
      </w:r>
      <w:r w:rsidRPr="003F324E">
        <w:rPr>
          <w:rFonts w:ascii="Calibri" w:hAnsi="Calibri" w:cs="Calibri"/>
        </w:rPr>
        <w:t xml:space="preserve">t ces impacts se ressentent le plus chez les femmes d’ailleurs comme </w:t>
      </w:r>
      <w:r w:rsidR="00895722" w:rsidRPr="003F324E">
        <w:rPr>
          <w:rFonts w:ascii="Calibri" w:hAnsi="Calibri" w:cs="Calibri"/>
        </w:rPr>
        <w:t>couche marginalisée</w:t>
      </w:r>
      <w:r w:rsidRPr="003F324E">
        <w:rPr>
          <w:rFonts w:ascii="Calibri" w:hAnsi="Calibri" w:cs="Calibri"/>
        </w:rPr>
        <w:t xml:space="preserve"> dans la société guinéenne en raison</w:t>
      </w:r>
      <w:r w:rsidR="00895722" w:rsidRPr="003F324E">
        <w:rPr>
          <w:rFonts w:ascii="Calibri" w:hAnsi="Calibri" w:cs="Calibri"/>
        </w:rPr>
        <w:t xml:space="preserve"> de la perte des moyens de subs</w:t>
      </w:r>
      <w:r w:rsidR="00D42823" w:rsidRPr="003F324E">
        <w:rPr>
          <w:rFonts w:ascii="Calibri" w:hAnsi="Calibri" w:cs="Calibri"/>
        </w:rPr>
        <w:t>is</w:t>
      </w:r>
      <w:r w:rsidR="00895722" w:rsidRPr="003F324E">
        <w:rPr>
          <w:rFonts w:ascii="Calibri" w:hAnsi="Calibri" w:cs="Calibri"/>
        </w:rPr>
        <w:t>tances le long du projet</w:t>
      </w:r>
      <w:r w:rsidR="00D42823" w:rsidRPr="003F324E">
        <w:rPr>
          <w:rFonts w:ascii="Calibri" w:hAnsi="Calibri" w:cs="Calibri"/>
        </w:rPr>
        <w:t xml:space="preserve"> comme en témoigne le rapport annuel de suivi des impacts du projet </w:t>
      </w:r>
      <w:r w:rsidR="00A86C2B" w:rsidRPr="003F324E">
        <w:rPr>
          <w:rFonts w:ascii="Calibri" w:hAnsi="Calibri" w:cs="Calibri"/>
        </w:rPr>
        <w:t>Simandou</w:t>
      </w:r>
      <w:r w:rsidR="00D42823" w:rsidRPr="003F324E">
        <w:rPr>
          <w:rFonts w:ascii="Calibri" w:hAnsi="Calibri" w:cs="Calibri"/>
        </w:rPr>
        <w:t xml:space="preserve"> publié par Action Mines Guinée </w:t>
      </w:r>
      <w:hyperlink r:id="rId13" w:history="1">
        <w:r w:rsidR="00D42823" w:rsidRPr="003F324E">
          <w:rPr>
            <w:rStyle w:val="Lienhypertexte"/>
            <w:rFonts w:ascii="Calibri" w:hAnsi="Calibri" w:cs="Calibri"/>
          </w:rPr>
          <w:t>Projet Simandou : Action Mines Guinée (ONG) publie le rapport annuel d'impact des comités de suivi - Actionminesguinee.com</w:t>
        </w:r>
      </w:hyperlink>
    </w:p>
    <w:p w14:paraId="6EE029E6" w14:textId="338D7A49" w:rsidR="00DD7602" w:rsidRPr="003F324E" w:rsidRDefault="00E07525" w:rsidP="008D1B74">
      <w:pPr>
        <w:pStyle w:val="NormalWeb"/>
        <w:jc w:val="both"/>
        <w:rPr>
          <w:rFonts w:ascii="Calibri" w:hAnsi="Calibri" w:cs="Calibri"/>
        </w:rPr>
      </w:pPr>
      <w:r w:rsidRPr="003F324E">
        <w:rPr>
          <w:rFonts w:ascii="Calibri" w:hAnsi="Calibri" w:cs="Calibri"/>
        </w:rPr>
        <w:t>En</w:t>
      </w:r>
      <w:r w:rsidR="00DD7602" w:rsidRPr="003F324E">
        <w:rPr>
          <w:rFonts w:ascii="Calibri" w:hAnsi="Calibri" w:cs="Calibri"/>
        </w:rPr>
        <w:t xml:space="preserve"> </w:t>
      </w:r>
      <w:r w:rsidRPr="003F324E">
        <w:rPr>
          <w:rFonts w:ascii="Calibri" w:hAnsi="Calibri" w:cs="Calibri"/>
        </w:rPr>
        <w:t>milieu</w:t>
      </w:r>
      <w:r w:rsidR="00DD7602" w:rsidRPr="003F324E">
        <w:rPr>
          <w:rFonts w:ascii="Calibri" w:hAnsi="Calibri" w:cs="Calibri"/>
        </w:rPr>
        <w:t xml:space="preserve"> rural, les femmes jou</w:t>
      </w:r>
      <w:r w:rsidRPr="003F324E">
        <w:rPr>
          <w:rFonts w:ascii="Calibri" w:hAnsi="Calibri" w:cs="Calibri"/>
        </w:rPr>
        <w:t>ent</w:t>
      </w:r>
      <w:r w:rsidR="00DD7602" w:rsidRPr="003F324E">
        <w:rPr>
          <w:rFonts w:ascii="Calibri" w:hAnsi="Calibri" w:cs="Calibri"/>
        </w:rPr>
        <w:t xml:space="preserve"> un rôle central dans l’agriculture de subsistance, </w:t>
      </w:r>
      <w:r w:rsidR="00E76E67" w:rsidRPr="003F324E">
        <w:rPr>
          <w:rFonts w:ascii="Calibri" w:hAnsi="Calibri" w:cs="Calibri"/>
        </w:rPr>
        <w:t xml:space="preserve">en </w:t>
      </w:r>
      <w:r w:rsidR="00DD7602" w:rsidRPr="003F324E">
        <w:rPr>
          <w:rFonts w:ascii="Calibri" w:hAnsi="Calibri" w:cs="Calibri"/>
        </w:rPr>
        <w:t xml:space="preserve">cultivant des terres pour nourrir leurs familles et </w:t>
      </w:r>
      <w:r w:rsidR="00E76E67" w:rsidRPr="003F324E">
        <w:rPr>
          <w:rFonts w:ascii="Calibri" w:hAnsi="Calibri" w:cs="Calibri"/>
        </w:rPr>
        <w:t>couvrir les besoins</w:t>
      </w:r>
      <w:r w:rsidR="00DD7602" w:rsidRPr="003F324E">
        <w:rPr>
          <w:rFonts w:ascii="Calibri" w:hAnsi="Calibri" w:cs="Calibri"/>
        </w:rPr>
        <w:t xml:space="preserve"> supplémentaires. Avant l’arrivée d</w:t>
      </w:r>
      <w:r w:rsidR="003F6DD7" w:rsidRPr="003F324E">
        <w:rPr>
          <w:rFonts w:ascii="Calibri" w:hAnsi="Calibri" w:cs="Calibri"/>
        </w:rPr>
        <w:t xml:space="preserve">u projet </w:t>
      </w:r>
      <w:r w:rsidR="00A86C2B" w:rsidRPr="003F324E">
        <w:rPr>
          <w:rFonts w:ascii="Calibri" w:hAnsi="Calibri" w:cs="Calibri"/>
        </w:rPr>
        <w:t>Simandou</w:t>
      </w:r>
      <w:r w:rsidR="00DD7602" w:rsidRPr="003F324E">
        <w:rPr>
          <w:rFonts w:ascii="Calibri" w:hAnsi="Calibri" w:cs="Calibri"/>
        </w:rPr>
        <w:t>, elles avaient un contrôle</w:t>
      </w:r>
      <w:r w:rsidR="00167B6B" w:rsidRPr="003F324E">
        <w:rPr>
          <w:rFonts w:ascii="Calibri" w:hAnsi="Calibri" w:cs="Calibri"/>
        </w:rPr>
        <w:t xml:space="preserve"> plus ou moins</w:t>
      </w:r>
      <w:r w:rsidR="00DD7602" w:rsidRPr="003F324E">
        <w:rPr>
          <w:rFonts w:ascii="Calibri" w:hAnsi="Calibri" w:cs="Calibri"/>
        </w:rPr>
        <w:t xml:space="preserve"> direct sur la gestion de leurs terres et de leurs récoltes. Cependant, l’implantation d</w:t>
      </w:r>
      <w:r w:rsidR="007C5EA3" w:rsidRPr="003F324E">
        <w:rPr>
          <w:rFonts w:ascii="Calibri" w:hAnsi="Calibri" w:cs="Calibri"/>
        </w:rPr>
        <w:t>u projet</w:t>
      </w:r>
      <w:r w:rsidR="00DD7602" w:rsidRPr="003F324E">
        <w:rPr>
          <w:rFonts w:ascii="Calibri" w:hAnsi="Calibri" w:cs="Calibri"/>
        </w:rPr>
        <w:t xml:space="preserve"> Simandou, bouleverse cet équilibre fragile et les prive de leurs sources de subsistance, tout en les excluant souvent des compensations financières et des prises de décision.</w:t>
      </w:r>
      <w:r w:rsidR="00926BCE" w:rsidRPr="003F324E">
        <w:rPr>
          <w:rFonts w:ascii="Calibri" w:hAnsi="Calibri" w:cs="Calibri"/>
        </w:rPr>
        <w:t xml:space="preserve"> La terre est la principale source de revenu pour les femmes en milieu rurale, elle sert de support pour le développement des activités agricole notamment le maraichage qui occupe la quasi-totalité des femmes. </w:t>
      </w:r>
      <w:r w:rsidR="00847B31" w:rsidRPr="003F324E">
        <w:rPr>
          <w:rFonts w:ascii="Calibri" w:hAnsi="Calibri" w:cs="Calibri"/>
        </w:rPr>
        <w:t>Les acquisitions massives</w:t>
      </w:r>
      <w:r w:rsidR="00926BCE" w:rsidRPr="003F324E">
        <w:rPr>
          <w:rFonts w:ascii="Calibri" w:hAnsi="Calibri" w:cs="Calibri"/>
        </w:rPr>
        <w:t xml:space="preserve"> de terre le long du corridor </w:t>
      </w:r>
      <w:r w:rsidR="00AD5485" w:rsidRPr="003F324E">
        <w:rPr>
          <w:rFonts w:ascii="Calibri" w:hAnsi="Calibri" w:cs="Calibri"/>
        </w:rPr>
        <w:t>Simandou</w:t>
      </w:r>
      <w:r w:rsidR="00926BCE" w:rsidRPr="003F324E">
        <w:rPr>
          <w:rFonts w:ascii="Calibri" w:hAnsi="Calibri" w:cs="Calibri"/>
        </w:rPr>
        <w:t xml:space="preserve"> </w:t>
      </w:r>
      <w:r w:rsidR="00847B31" w:rsidRPr="003F324E">
        <w:rPr>
          <w:rFonts w:ascii="Calibri" w:hAnsi="Calibri" w:cs="Calibri"/>
        </w:rPr>
        <w:t>a</w:t>
      </w:r>
      <w:r w:rsidR="00926BCE" w:rsidRPr="003F324E">
        <w:rPr>
          <w:rFonts w:ascii="Calibri" w:hAnsi="Calibri" w:cs="Calibri"/>
        </w:rPr>
        <w:t xml:space="preserve"> occasionné une pression foncière aboutissant à la rareté de terre pour les femmes. Le constat qui se </w:t>
      </w:r>
      <w:r w:rsidR="00847B31" w:rsidRPr="003F324E">
        <w:rPr>
          <w:rFonts w:ascii="Calibri" w:hAnsi="Calibri" w:cs="Calibri"/>
        </w:rPr>
        <w:t>dégage</w:t>
      </w:r>
      <w:r w:rsidR="00926BCE" w:rsidRPr="003F324E">
        <w:rPr>
          <w:rFonts w:ascii="Calibri" w:hAnsi="Calibri" w:cs="Calibri"/>
        </w:rPr>
        <w:t xml:space="preserve"> est que les femmes ont moins d’opportunités d’emploi à saisir dans les projets </w:t>
      </w:r>
      <w:r w:rsidR="00847B31" w:rsidRPr="003F324E">
        <w:rPr>
          <w:rFonts w:ascii="Calibri" w:hAnsi="Calibri" w:cs="Calibri"/>
        </w:rPr>
        <w:t>en raison de</w:t>
      </w:r>
      <w:r w:rsidR="00926BCE" w:rsidRPr="003F324E">
        <w:rPr>
          <w:rFonts w:ascii="Calibri" w:hAnsi="Calibri" w:cs="Calibri"/>
        </w:rPr>
        <w:t xml:space="preserve"> leur faible qualification et des pesanteur</w:t>
      </w:r>
      <w:r w:rsidR="00847B31" w:rsidRPr="003F324E">
        <w:rPr>
          <w:rFonts w:ascii="Calibri" w:hAnsi="Calibri" w:cs="Calibri"/>
        </w:rPr>
        <w:t>s</w:t>
      </w:r>
      <w:r w:rsidR="00926BCE" w:rsidRPr="003F324E">
        <w:rPr>
          <w:rFonts w:ascii="Calibri" w:hAnsi="Calibri" w:cs="Calibri"/>
        </w:rPr>
        <w:t xml:space="preserve"> soci</w:t>
      </w:r>
      <w:r w:rsidR="00847B31" w:rsidRPr="003F324E">
        <w:rPr>
          <w:rFonts w:ascii="Calibri" w:hAnsi="Calibri" w:cs="Calibri"/>
        </w:rPr>
        <w:t>aux</w:t>
      </w:r>
      <w:r w:rsidR="00926BCE" w:rsidRPr="003F324E">
        <w:rPr>
          <w:rFonts w:ascii="Calibri" w:hAnsi="Calibri" w:cs="Calibri"/>
        </w:rPr>
        <w:t xml:space="preserve"> qui les </w:t>
      </w:r>
      <w:r w:rsidR="00847B31" w:rsidRPr="003F324E">
        <w:rPr>
          <w:rFonts w:ascii="Calibri" w:hAnsi="Calibri" w:cs="Calibri"/>
        </w:rPr>
        <w:t>empêche</w:t>
      </w:r>
      <w:r w:rsidR="00926BCE" w:rsidRPr="003F324E">
        <w:rPr>
          <w:rFonts w:ascii="Calibri" w:hAnsi="Calibri" w:cs="Calibri"/>
        </w:rPr>
        <w:t xml:space="preserve"> de tirer profit de certains </w:t>
      </w:r>
      <w:r w:rsidR="00847B31" w:rsidRPr="003F324E">
        <w:rPr>
          <w:rFonts w:ascii="Calibri" w:hAnsi="Calibri" w:cs="Calibri"/>
        </w:rPr>
        <w:t>métiers</w:t>
      </w:r>
      <w:r w:rsidR="00926BCE" w:rsidRPr="003F324E">
        <w:rPr>
          <w:rFonts w:ascii="Calibri" w:hAnsi="Calibri" w:cs="Calibri"/>
        </w:rPr>
        <w:t xml:space="preserve"> des mines par rapport aux hommes</w:t>
      </w:r>
      <w:r w:rsidR="00CF2A88" w:rsidRPr="003F324E">
        <w:rPr>
          <w:rFonts w:ascii="Calibri" w:hAnsi="Calibri" w:cs="Calibri"/>
        </w:rPr>
        <w:t xml:space="preserve">. Cela s’explique </w:t>
      </w:r>
      <w:r w:rsidR="003F324E" w:rsidRPr="003F324E">
        <w:rPr>
          <w:rFonts w:ascii="Calibri" w:hAnsi="Calibri" w:cs="Calibri"/>
        </w:rPr>
        <w:t>également</w:t>
      </w:r>
      <w:r w:rsidR="00CF2A88" w:rsidRPr="003F324E">
        <w:rPr>
          <w:rFonts w:ascii="Calibri" w:hAnsi="Calibri" w:cs="Calibri"/>
        </w:rPr>
        <w:t xml:space="preserve"> par le fait </w:t>
      </w:r>
      <w:r w:rsidR="00412449" w:rsidRPr="003F324E">
        <w:rPr>
          <w:rFonts w:ascii="Calibri" w:hAnsi="Calibri" w:cs="Calibri"/>
        </w:rPr>
        <w:t>que le</w:t>
      </w:r>
      <w:r w:rsidR="00926BCE" w:rsidRPr="003F324E">
        <w:rPr>
          <w:rFonts w:ascii="Calibri" w:hAnsi="Calibri" w:cs="Calibri"/>
        </w:rPr>
        <w:t xml:space="preserve"> taux </w:t>
      </w:r>
      <w:r w:rsidR="0032601A" w:rsidRPr="003F324E">
        <w:rPr>
          <w:rFonts w:ascii="Calibri" w:hAnsi="Calibri" w:cs="Calibri"/>
        </w:rPr>
        <w:t>d’alphabétisation est</w:t>
      </w:r>
      <w:r w:rsidR="00926BCE" w:rsidRPr="003F324E">
        <w:rPr>
          <w:rFonts w:ascii="Calibri" w:hAnsi="Calibri" w:cs="Calibri"/>
        </w:rPr>
        <w:t xml:space="preserve"> </w:t>
      </w:r>
      <w:r w:rsidR="003F324E" w:rsidRPr="003F324E">
        <w:rPr>
          <w:rFonts w:ascii="Calibri" w:hAnsi="Calibri" w:cs="Calibri"/>
        </w:rPr>
        <w:t>plus élevé chez</w:t>
      </w:r>
      <w:r w:rsidR="00CF2A88" w:rsidRPr="003F324E">
        <w:rPr>
          <w:rFonts w:ascii="Calibri" w:hAnsi="Calibri" w:cs="Calibri"/>
        </w:rPr>
        <w:t xml:space="preserve"> les hommes qui sont d’ailleurs </w:t>
      </w:r>
      <w:r w:rsidR="00926BCE" w:rsidRPr="003F324E">
        <w:rPr>
          <w:rFonts w:ascii="Calibri" w:hAnsi="Calibri" w:cs="Calibri"/>
        </w:rPr>
        <w:t>plus aptes technique</w:t>
      </w:r>
      <w:r w:rsidR="00847B31" w:rsidRPr="003F324E">
        <w:rPr>
          <w:rFonts w:ascii="Calibri" w:hAnsi="Calibri" w:cs="Calibri"/>
        </w:rPr>
        <w:t>ment</w:t>
      </w:r>
      <w:r w:rsidR="00926BCE" w:rsidRPr="003F324E">
        <w:rPr>
          <w:rFonts w:ascii="Calibri" w:hAnsi="Calibri" w:cs="Calibri"/>
        </w:rPr>
        <w:t xml:space="preserve"> et physiquement pour saisir les opportunités des entreprises et leurs </w:t>
      </w:r>
      <w:r w:rsidR="00847B31" w:rsidRPr="003F324E">
        <w:rPr>
          <w:rFonts w:ascii="Calibri" w:hAnsi="Calibri" w:cs="Calibri"/>
        </w:rPr>
        <w:t>sous-traitant</w:t>
      </w:r>
      <w:r w:rsidR="00926BCE" w:rsidRPr="003F324E">
        <w:rPr>
          <w:rFonts w:ascii="Calibri" w:hAnsi="Calibri" w:cs="Calibri"/>
        </w:rPr>
        <w:t xml:space="preserve"> </w:t>
      </w:r>
      <w:r w:rsidR="00B875A7" w:rsidRPr="003F324E">
        <w:rPr>
          <w:rFonts w:ascii="Calibri" w:hAnsi="Calibri" w:cs="Calibri"/>
        </w:rPr>
        <w:t>en termes</w:t>
      </w:r>
      <w:r w:rsidR="00926BCE" w:rsidRPr="003F324E">
        <w:rPr>
          <w:rFonts w:ascii="Calibri" w:hAnsi="Calibri" w:cs="Calibri"/>
        </w:rPr>
        <w:t xml:space="preserve"> d’emploi</w:t>
      </w:r>
      <w:r w:rsidR="00B875A7" w:rsidRPr="003F324E">
        <w:rPr>
          <w:rFonts w:ascii="Calibri" w:hAnsi="Calibri" w:cs="Calibri"/>
        </w:rPr>
        <w:t>.</w:t>
      </w:r>
    </w:p>
    <w:p w14:paraId="28B44229" w14:textId="1D6BE7F4" w:rsidR="00DD7602" w:rsidRPr="003F324E" w:rsidRDefault="00DD7602" w:rsidP="008D1B74">
      <w:pPr>
        <w:pStyle w:val="NormalWeb"/>
        <w:jc w:val="both"/>
        <w:rPr>
          <w:rFonts w:ascii="Calibri" w:hAnsi="Calibri" w:cs="Calibri"/>
        </w:rPr>
      </w:pPr>
      <w:r w:rsidRPr="003F324E">
        <w:rPr>
          <w:rFonts w:ascii="Calibri" w:hAnsi="Calibri" w:cs="Calibri"/>
        </w:rPr>
        <w:t>L’impact sur les femmes est particulièrement prononcé, car elles sont non seulement privées de leurs terres agricoles, mais sont également confrontées à un accès limité aux informations concernant les projets miniers et à une exclusion systématique d</w:t>
      </w:r>
      <w:r w:rsidR="00E76E67" w:rsidRPr="003F324E">
        <w:rPr>
          <w:rFonts w:ascii="Calibri" w:hAnsi="Calibri" w:cs="Calibri"/>
        </w:rPr>
        <w:t>ans les</w:t>
      </w:r>
      <w:r w:rsidRPr="003F324E">
        <w:rPr>
          <w:rFonts w:ascii="Calibri" w:hAnsi="Calibri" w:cs="Calibri"/>
        </w:rPr>
        <w:t xml:space="preserve"> processus décisionnels. Cela les rend vulnérables et les empêche de revendiquer leurs droits. En outre, les traditions patriarcales </w:t>
      </w:r>
      <w:r w:rsidR="0032601A" w:rsidRPr="003F324E">
        <w:rPr>
          <w:rFonts w:ascii="Calibri" w:hAnsi="Calibri" w:cs="Calibri"/>
        </w:rPr>
        <w:t>qui régissent</w:t>
      </w:r>
      <w:r w:rsidRPr="003F324E">
        <w:rPr>
          <w:rFonts w:ascii="Calibri" w:hAnsi="Calibri" w:cs="Calibri"/>
        </w:rPr>
        <w:t xml:space="preserve"> certaines </w:t>
      </w:r>
      <w:r w:rsidR="00AD5485" w:rsidRPr="003F324E">
        <w:rPr>
          <w:rFonts w:ascii="Calibri" w:hAnsi="Calibri" w:cs="Calibri"/>
        </w:rPr>
        <w:t>communautés locales</w:t>
      </w:r>
      <w:r w:rsidRPr="003F324E">
        <w:rPr>
          <w:rFonts w:ascii="Calibri" w:hAnsi="Calibri" w:cs="Calibri"/>
        </w:rPr>
        <w:t xml:space="preserve"> limitent encore davantage l’accès des femmes aux compensations et à l’accès à la terre. Elles se retrouvent ainsi dans une situation d’injustice sociale, où leurs contributions et besoins ne sont </w:t>
      </w:r>
      <w:r w:rsidR="009F738B" w:rsidRPr="003F324E">
        <w:rPr>
          <w:rFonts w:ascii="Calibri" w:hAnsi="Calibri" w:cs="Calibri"/>
        </w:rPr>
        <w:t>ni reconnus</w:t>
      </w:r>
      <w:r w:rsidRPr="003F324E">
        <w:rPr>
          <w:rFonts w:ascii="Calibri" w:hAnsi="Calibri" w:cs="Calibri"/>
        </w:rPr>
        <w:t xml:space="preserve"> </w:t>
      </w:r>
      <w:r w:rsidR="009F738B" w:rsidRPr="003F324E">
        <w:rPr>
          <w:rFonts w:ascii="Calibri" w:hAnsi="Calibri" w:cs="Calibri"/>
        </w:rPr>
        <w:t>ni pris</w:t>
      </w:r>
      <w:r w:rsidRPr="003F324E">
        <w:rPr>
          <w:rFonts w:ascii="Calibri" w:hAnsi="Calibri" w:cs="Calibri"/>
        </w:rPr>
        <w:t xml:space="preserve"> en compte, exacerbant les inégalités de genre déjà présentes </w:t>
      </w:r>
      <w:r w:rsidR="00AD5485" w:rsidRPr="003F324E">
        <w:rPr>
          <w:rFonts w:ascii="Calibri" w:hAnsi="Calibri" w:cs="Calibri"/>
        </w:rPr>
        <w:t>au sein d</w:t>
      </w:r>
      <w:r w:rsidRPr="003F324E">
        <w:rPr>
          <w:rFonts w:ascii="Calibri" w:hAnsi="Calibri" w:cs="Calibri"/>
        </w:rPr>
        <w:t>es communautés.</w:t>
      </w:r>
    </w:p>
    <w:p w14:paraId="51178152" w14:textId="70DC8EFD" w:rsidR="00BE5F3F" w:rsidRPr="003F324E" w:rsidRDefault="00532131" w:rsidP="00F94845">
      <w:pPr>
        <w:pStyle w:val="Titre1"/>
        <w:rPr>
          <w:rFonts w:ascii="Calibri" w:hAnsi="Calibri" w:cs="Calibri"/>
          <w:b/>
          <w:bCs/>
          <w:color w:val="auto"/>
        </w:rPr>
      </w:pPr>
      <w:bookmarkStart w:id="2" w:name="_Toc192575065"/>
      <w:r w:rsidRPr="003F324E">
        <w:rPr>
          <w:rFonts w:ascii="Calibri" w:hAnsi="Calibri" w:cs="Calibri"/>
          <w:b/>
          <w:bCs/>
          <w:color w:val="auto"/>
        </w:rPr>
        <w:t>3.</w:t>
      </w:r>
      <w:r w:rsidR="003F324E">
        <w:rPr>
          <w:rFonts w:ascii="Calibri" w:hAnsi="Calibri" w:cs="Calibri"/>
          <w:b/>
          <w:bCs/>
          <w:color w:val="auto"/>
        </w:rPr>
        <w:t xml:space="preserve"> </w:t>
      </w:r>
      <w:r w:rsidR="00BE5F3F" w:rsidRPr="003F324E">
        <w:rPr>
          <w:rFonts w:ascii="Calibri" w:hAnsi="Calibri" w:cs="Calibri"/>
          <w:b/>
          <w:bCs/>
          <w:color w:val="auto"/>
        </w:rPr>
        <w:t>Cadre juridique pertinent</w:t>
      </w:r>
      <w:bookmarkEnd w:id="2"/>
    </w:p>
    <w:p w14:paraId="265ADE10" w14:textId="64DB462A" w:rsidR="00A23B3C" w:rsidRPr="003F324E" w:rsidRDefault="00DD7602" w:rsidP="008D1B74">
      <w:pPr>
        <w:pStyle w:val="NormalWeb"/>
        <w:jc w:val="both"/>
        <w:rPr>
          <w:rFonts w:ascii="Calibri" w:hAnsi="Calibri" w:cs="Calibri"/>
          <w:b/>
        </w:rPr>
      </w:pPr>
      <w:r w:rsidRPr="003F324E">
        <w:rPr>
          <w:rFonts w:ascii="Calibri" w:hAnsi="Calibri" w:cs="Calibri"/>
        </w:rPr>
        <w:t xml:space="preserve">Face à ces défis, la question </w:t>
      </w:r>
      <w:r w:rsidR="00E76E67" w:rsidRPr="003F324E">
        <w:rPr>
          <w:rFonts w:ascii="Calibri" w:hAnsi="Calibri" w:cs="Calibri"/>
        </w:rPr>
        <w:t xml:space="preserve">est </w:t>
      </w:r>
      <w:r w:rsidRPr="003F324E">
        <w:rPr>
          <w:rFonts w:ascii="Calibri" w:hAnsi="Calibri" w:cs="Calibri"/>
        </w:rPr>
        <w:t xml:space="preserve">de savoir comment garantir </w:t>
      </w:r>
      <w:r w:rsidR="3ACD70B4" w:rsidRPr="003F324E">
        <w:rPr>
          <w:rFonts w:ascii="Calibri" w:hAnsi="Calibri" w:cs="Calibri"/>
        </w:rPr>
        <w:t>la prise en compte et le respect</w:t>
      </w:r>
      <w:r w:rsidR="00A23B3C" w:rsidRPr="003F324E">
        <w:rPr>
          <w:rFonts w:ascii="Calibri" w:hAnsi="Calibri" w:cs="Calibri"/>
        </w:rPr>
        <w:t xml:space="preserve"> </w:t>
      </w:r>
      <w:r w:rsidR="4BC7FED5" w:rsidRPr="003F324E">
        <w:rPr>
          <w:rFonts w:ascii="Calibri" w:hAnsi="Calibri" w:cs="Calibri"/>
        </w:rPr>
        <w:t>d</w:t>
      </w:r>
      <w:r w:rsidR="00A23B3C" w:rsidRPr="003F324E">
        <w:rPr>
          <w:rStyle w:val="lev"/>
          <w:rFonts w:ascii="Calibri" w:hAnsi="Calibri" w:cs="Calibri"/>
          <w:b w:val="0"/>
        </w:rPr>
        <w:t xml:space="preserve">es droits des femmes dans </w:t>
      </w:r>
      <w:r w:rsidR="00A23B3C" w:rsidRPr="003F324E">
        <w:rPr>
          <w:rStyle w:val="lev"/>
          <w:rFonts w:ascii="Calibri" w:hAnsi="Calibri" w:cs="Calibri"/>
          <w:b w:val="0"/>
          <w:bCs w:val="0"/>
        </w:rPr>
        <w:t>le</w:t>
      </w:r>
      <w:r w:rsidR="52112BA3" w:rsidRPr="003F324E">
        <w:rPr>
          <w:rStyle w:val="lev"/>
          <w:rFonts w:ascii="Calibri" w:hAnsi="Calibri" w:cs="Calibri"/>
          <w:b w:val="0"/>
          <w:bCs w:val="0"/>
        </w:rPr>
        <w:t xml:space="preserve"> cadre</w:t>
      </w:r>
      <w:r w:rsidR="00A23B3C" w:rsidRPr="003F324E">
        <w:rPr>
          <w:rStyle w:val="lev"/>
          <w:rFonts w:ascii="Calibri" w:hAnsi="Calibri" w:cs="Calibri"/>
          <w:b w:val="0"/>
        </w:rPr>
        <w:t xml:space="preserve"> </w:t>
      </w:r>
      <w:r w:rsidR="00A23B3C" w:rsidRPr="003F324E">
        <w:rPr>
          <w:rStyle w:val="lev"/>
          <w:rFonts w:ascii="Calibri" w:hAnsi="Calibri" w:cs="Calibri"/>
          <w:b w:val="0"/>
          <w:bCs w:val="0"/>
        </w:rPr>
        <w:t>d</w:t>
      </w:r>
      <w:r w:rsidR="45310BAF" w:rsidRPr="003F324E">
        <w:rPr>
          <w:rStyle w:val="lev"/>
          <w:rFonts w:ascii="Calibri" w:hAnsi="Calibri" w:cs="Calibri"/>
          <w:b w:val="0"/>
          <w:bCs w:val="0"/>
        </w:rPr>
        <w:t>u</w:t>
      </w:r>
      <w:r w:rsidR="00A23B3C" w:rsidRPr="003F324E">
        <w:rPr>
          <w:rStyle w:val="lev"/>
          <w:rFonts w:ascii="Calibri" w:hAnsi="Calibri" w:cs="Calibri"/>
          <w:b w:val="0"/>
        </w:rPr>
        <w:t xml:space="preserve"> développement </w:t>
      </w:r>
      <w:r w:rsidR="7D7A0CDF" w:rsidRPr="003F324E">
        <w:rPr>
          <w:rStyle w:val="lev"/>
          <w:rFonts w:ascii="Calibri" w:hAnsi="Calibri" w:cs="Calibri"/>
          <w:b w:val="0"/>
          <w:bCs w:val="0"/>
        </w:rPr>
        <w:t>des pro</w:t>
      </w:r>
      <w:r w:rsidR="00D26022" w:rsidRPr="003F324E">
        <w:rPr>
          <w:rStyle w:val="lev"/>
          <w:rFonts w:ascii="Calibri" w:hAnsi="Calibri" w:cs="Calibri"/>
          <w:b w:val="0"/>
          <w:bCs w:val="0"/>
        </w:rPr>
        <w:t>j</w:t>
      </w:r>
      <w:r w:rsidR="7D7A0CDF" w:rsidRPr="003F324E">
        <w:rPr>
          <w:rStyle w:val="lev"/>
          <w:rFonts w:ascii="Calibri" w:hAnsi="Calibri" w:cs="Calibri"/>
          <w:b w:val="0"/>
          <w:bCs w:val="0"/>
        </w:rPr>
        <w:t xml:space="preserve">ets </w:t>
      </w:r>
      <w:r w:rsidR="00A23B3C" w:rsidRPr="003F324E">
        <w:rPr>
          <w:rStyle w:val="lev"/>
          <w:rFonts w:ascii="Calibri" w:hAnsi="Calibri" w:cs="Calibri"/>
          <w:b w:val="0"/>
          <w:bCs w:val="0"/>
        </w:rPr>
        <w:t>minier</w:t>
      </w:r>
      <w:r w:rsidR="349CA41D" w:rsidRPr="003F324E">
        <w:rPr>
          <w:rStyle w:val="lev"/>
          <w:rFonts w:ascii="Calibri" w:hAnsi="Calibri" w:cs="Calibri"/>
          <w:b w:val="0"/>
          <w:bCs w:val="0"/>
        </w:rPr>
        <w:t xml:space="preserve">s en </w:t>
      </w:r>
      <w:r w:rsidR="00412449" w:rsidRPr="003F324E">
        <w:rPr>
          <w:rStyle w:val="lev"/>
          <w:rFonts w:ascii="Calibri" w:hAnsi="Calibri" w:cs="Calibri"/>
          <w:b w:val="0"/>
          <w:bCs w:val="0"/>
        </w:rPr>
        <w:t>Guinée ?</w:t>
      </w:r>
      <w:r w:rsidR="005D0119" w:rsidRPr="003F324E">
        <w:rPr>
          <w:rStyle w:val="lev"/>
          <w:rFonts w:ascii="Calibri" w:hAnsi="Calibri" w:cs="Calibri"/>
          <w:b w:val="0"/>
          <w:bCs w:val="0"/>
        </w:rPr>
        <w:t xml:space="preserve"> </w:t>
      </w:r>
      <w:r w:rsidR="00AD5485" w:rsidRPr="003F324E">
        <w:rPr>
          <w:rStyle w:val="lev"/>
          <w:rFonts w:ascii="Calibri" w:hAnsi="Calibri" w:cs="Calibri"/>
          <w:b w:val="0"/>
          <w:bCs w:val="0"/>
        </w:rPr>
        <w:t xml:space="preserve">la </w:t>
      </w:r>
      <w:r w:rsidR="005D0119" w:rsidRPr="003F324E">
        <w:rPr>
          <w:rStyle w:val="lev"/>
          <w:rFonts w:ascii="Calibri" w:hAnsi="Calibri" w:cs="Calibri"/>
          <w:b w:val="0"/>
          <w:bCs w:val="0"/>
        </w:rPr>
        <w:t>présent</w:t>
      </w:r>
      <w:r w:rsidR="00CF2A88" w:rsidRPr="003F324E">
        <w:rPr>
          <w:rStyle w:val="lev"/>
          <w:rFonts w:ascii="Calibri" w:hAnsi="Calibri" w:cs="Calibri"/>
          <w:b w:val="0"/>
          <w:bCs w:val="0"/>
        </w:rPr>
        <w:t xml:space="preserve">e </w:t>
      </w:r>
      <w:r w:rsidR="00412449" w:rsidRPr="003F324E">
        <w:rPr>
          <w:rStyle w:val="lev"/>
          <w:rFonts w:ascii="Calibri" w:hAnsi="Calibri" w:cs="Calibri"/>
          <w:b w:val="0"/>
          <w:bCs w:val="0"/>
        </w:rPr>
        <w:t>analyse suscite</w:t>
      </w:r>
      <w:r w:rsidR="005D0119" w:rsidRPr="003F324E">
        <w:rPr>
          <w:rStyle w:val="lev"/>
          <w:rFonts w:ascii="Calibri" w:hAnsi="Calibri" w:cs="Calibri"/>
          <w:b w:val="0"/>
          <w:bCs w:val="0"/>
        </w:rPr>
        <w:t xml:space="preserve"> le débat sur la question du respect des droits des femmes dans le secteur minier en Guinée. Le projet </w:t>
      </w:r>
      <w:r w:rsidR="00AD5485" w:rsidRPr="003F324E">
        <w:rPr>
          <w:rStyle w:val="lev"/>
          <w:rFonts w:ascii="Calibri" w:hAnsi="Calibri" w:cs="Calibri"/>
          <w:b w:val="0"/>
          <w:bCs w:val="0"/>
        </w:rPr>
        <w:t>S</w:t>
      </w:r>
      <w:r w:rsidR="005D0119" w:rsidRPr="003F324E">
        <w:rPr>
          <w:rStyle w:val="lev"/>
          <w:rFonts w:ascii="Calibri" w:hAnsi="Calibri" w:cs="Calibri"/>
          <w:b w:val="0"/>
          <w:bCs w:val="0"/>
        </w:rPr>
        <w:t xml:space="preserve">imandou sert d’exemple pour illustrer la position faible des femmes dans le processus tout entier. </w:t>
      </w:r>
    </w:p>
    <w:p w14:paraId="0705C403" w14:textId="18DB5564" w:rsidR="00DD7602" w:rsidRPr="003F324E" w:rsidRDefault="00A23B3C" w:rsidP="008D1B74">
      <w:pPr>
        <w:pStyle w:val="NormalWeb"/>
        <w:jc w:val="both"/>
        <w:rPr>
          <w:rFonts w:ascii="Calibri" w:hAnsi="Calibri" w:cs="Calibri"/>
        </w:rPr>
      </w:pPr>
      <w:r w:rsidRPr="003F324E">
        <w:rPr>
          <w:rFonts w:ascii="Calibri" w:hAnsi="Calibri" w:cs="Calibri"/>
        </w:rPr>
        <w:lastRenderedPageBreak/>
        <w:t>L’intégration des</w:t>
      </w:r>
      <w:r w:rsidR="00DD7602" w:rsidRPr="003F324E">
        <w:rPr>
          <w:rFonts w:ascii="Calibri" w:hAnsi="Calibri" w:cs="Calibri"/>
        </w:rPr>
        <w:t xml:space="preserve"> droits des femmes dans les politiques de développement minier devient cruciale. Il est essentiel de concevoir des politiques inclusives qui reconnaissent le rôle central des femmes dans la gestion des terres et la production agricole, et qui leur assurent une participation active dans les processus décisionnels liés à ces projets. Le développement minier ne doit pas se faire au détriment des droits fondamentaux des femmes, mais plutôt en veillant à l’équité et à l’inclusion de toutes les parties prenantes. Pour cela, il est nécessaire d’adopter une approche de développement minier qui privilégie la reconnaissance des contributions des femmes et qui protège leurs droits à la terre et à la compensation</w:t>
      </w:r>
      <w:r w:rsidR="23B632FE" w:rsidRPr="003F324E">
        <w:rPr>
          <w:rFonts w:ascii="Calibri" w:hAnsi="Calibri" w:cs="Calibri"/>
        </w:rPr>
        <w:t xml:space="preserve"> juste et préalable</w:t>
      </w:r>
      <w:r w:rsidR="00DD7602" w:rsidRPr="003F324E">
        <w:rPr>
          <w:rFonts w:ascii="Calibri" w:hAnsi="Calibri" w:cs="Calibri"/>
        </w:rPr>
        <w:t>.</w:t>
      </w:r>
    </w:p>
    <w:p w14:paraId="033D6369" w14:textId="2CCD66B0" w:rsidR="00DD7602" w:rsidRPr="003F324E" w:rsidRDefault="009F738B" w:rsidP="008D1B74">
      <w:pPr>
        <w:pStyle w:val="NormalWeb"/>
        <w:jc w:val="both"/>
        <w:rPr>
          <w:rFonts w:ascii="Calibri" w:hAnsi="Calibri" w:cs="Calibri"/>
        </w:rPr>
      </w:pPr>
      <w:r w:rsidRPr="003F324E">
        <w:rPr>
          <w:rFonts w:ascii="Calibri" w:hAnsi="Calibri" w:cs="Calibri"/>
        </w:rPr>
        <w:t xml:space="preserve">Certains instruments juridiques </w:t>
      </w:r>
      <w:r w:rsidR="00CF4706" w:rsidRPr="003F324E">
        <w:rPr>
          <w:rFonts w:ascii="Calibri" w:hAnsi="Calibri" w:cs="Calibri"/>
        </w:rPr>
        <w:t xml:space="preserve">pertinents </w:t>
      </w:r>
      <w:r w:rsidRPr="003F324E">
        <w:rPr>
          <w:rFonts w:ascii="Calibri" w:hAnsi="Calibri" w:cs="Calibri"/>
        </w:rPr>
        <w:t xml:space="preserve">auxquels la République de </w:t>
      </w:r>
      <w:r w:rsidR="00DD7602" w:rsidRPr="003F324E">
        <w:rPr>
          <w:rFonts w:ascii="Calibri" w:hAnsi="Calibri" w:cs="Calibri"/>
        </w:rPr>
        <w:t>Guinée</w:t>
      </w:r>
      <w:r w:rsidRPr="003F324E">
        <w:rPr>
          <w:rFonts w:ascii="Calibri" w:hAnsi="Calibri" w:cs="Calibri"/>
        </w:rPr>
        <w:t xml:space="preserve"> est </w:t>
      </w:r>
      <w:r w:rsidR="00CF4706" w:rsidRPr="003F324E">
        <w:rPr>
          <w:rFonts w:ascii="Calibri" w:hAnsi="Calibri" w:cs="Calibri"/>
        </w:rPr>
        <w:t>parti</w:t>
      </w:r>
      <w:r w:rsidRPr="003F324E">
        <w:rPr>
          <w:rFonts w:ascii="Calibri" w:hAnsi="Calibri" w:cs="Calibri"/>
        </w:rPr>
        <w:t>e</w:t>
      </w:r>
      <w:r w:rsidR="00DD7602" w:rsidRPr="003F324E">
        <w:rPr>
          <w:rFonts w:ascii="Calibri" w:hAnsi="Calibri" w:cs="Calibri"/>
        </w:rPr>
        <w:t xml:space="preserve">, </w:t>
      </w:r>
      <w:r w:rsidRPr="003F324E">
        <w:rPr>
          <w:rFonts w:ascii="Calibri" w:hAnsi="Calibri" w:cs="Calibri"/>
        </w:rPr>
        <w:t xml:space="preserve">dont </w:t>
      </w:r>
      <w:r w:rsidR="00DD7602" w:rsidRPr="003F324E">
        <w:rPr>
          <w:rFonts w:ascii="Calibri" w:hAnsi="Calibri" w:cs="Calibri"/>
        </w:rPr>
        <w:t xml:space="preserve">la </w:t>
      </w:r>
      <w:r w:rsidR="00F2053C" w:rsidRPr="003F324E">
        <w:rPr>
          <w:rFonts w:ascii="Calibri" w:hAnsi="Calibri" w:cs="Calibri"/>
        </w:rPr>
        <w:t>C</w:t>
      </w:r>
      <w:r w:rsidR="00DD7602" w:rsidRPr="003F324E">
        <w:rPr>
          <w:rFonts w:ascii="Calibri" w:hAnsi="Calibri" w:cs="Calibri"/>
        </w:rPr>
        <w:t xml:space="preserve">harte </w:t>
      </w:r>
      <w:r w:rsidR="00AE2BBF" w:rsidRPr="003F324E">
        <w:rPr>
          <w:rFonts w:ascii="Calibri" w:hAnsi="Calibri" w:cs="Calibri"/>
        </w:rPr>
        <w:t xml:space="preserve">africaine des droits de l’homme et </w:t>
      </w:r>
      <w:r w:rsidRPr="003F324E">
        <w:rPr>
          <w:rFonts w:ascii="Calibri" w:hAnsi="Calibri" w:cs="Calibri"/>
        </w:rPr>
        <w:t>d</w:t>
      </w:r>
      <w:r w:rsidR="00AE2BBF" w:rsidRPr="003F324E">
        <w:rPr>
          <w:rFonts w:ascii="Calibri" w:hAnsi="Calibri" w:cs="Calibri"/>
        </w:rPr>
        <w:t>es peuple</w:t>
      </w:r>
      <w:r w:rsidR="00AE1FCB" w:rsidRPr="003F324E">
        <w:rPr>
          <w:rFonts w:ascii="Calibri" w:hAnsi="Calibri" w:cs="Calibri"/>
        </w:rPr>
        <w:t>s et ses protocoles</w:t>
      </w:r>
      <w:r w:rsidR="00AE2BBF" w:rsidRPr="003F324E">
        <w:rPr>
          <w:rFonts w:ascii="Calibri" w:hAnsi="Calibri" w:cs="Calibri"/>
        </w:rPr>
        <w:t xml:space="preserve"> relatif</w:t>
      </w:r>
      <w:r w:rsidR="00AE1FCB" w:rsidRPr="003F324E">
        <w:rPr>
          <w:rFonts w:ascii="Calibri" w:hAnsi="Calibri" w:cs="Calibri"/>
        </w:rPr>
        <w:t>s</w:t>
      </w:r>
      <w:r w:rsidR="00AE2BBF" w:rsidRPr="003F324E">
        <w:rPr>
          <w:rFonts w:ascii="Calibri" w:hAnsi="Calibri" w:cs="Calibri"/>
        </w:rPr>
        <w:t xml:space="preserve"> aux droits des femmes</w:t>
      </w:r>
      <w:r w:rsidR="00DD7602" w:rsidRPr="003F324E">
        <w:rPr>
          <w:rFonts w:ascii="Calibri" w:hAnsi="Calibri" w:cs="Calibri"/>
        </w:rPr>
        <w:t xml:space="preserve">, ainsi que les </w:t>
      </w:r>
      <w:r w:rsidRPr="003F324E">
        <w:rPr>
          <w:rFonts w:ascii="Calibri" w:hAnsi="Calibri" w:cs="Calibri"/>
        </w:rPr>
        <w:t>normes internationales</w:t>
      </w:r>
      <w:r w:rsidR="00DD7602" w:rsidRPr="003F324E">
        <w:rPr>
          <w:rFonts w:ascii="Calibri" w:hAnsi="Calibri" w:cs="Calibri"/>
        </w:rPr>
        <w:t xml:space="preserve">, reconnaissent l’importance de l’égalité des sexes et de la non-discrimination dans l’accès aux ressources </w:t>
      </w:r>
      <w:r w:rsidR="00AE1FCB" w:rsidRPr="003F324E">
        <w:rPr>
          <w:rFonts w:ascii="Calibri" w:hAnsi="Calibri" w:cs="Calibri"/>
        </w:rPr>
        <w:t>naturelles, notamment le</w:t>
      </w:r>
      <w:r w:rsidR="00DD7602" w:rsidRPr="003F324E">
        <w:rPr>
          <w:rFonts w:ascii="Calibri" w:hAnsi="Calibri" w:cs="Calibri"/>
        </w:rPr>
        <w:t xml:space="preserve"> foncier agricole. Selon </w:t>
      </w:r>
      <w:r w:rsidR="00AE1FCB" w:rsidRPr="003F324E">
        <w:rPr>
          <w:rFonts w:ascii="Calibri" w:hAnsi="Calibri" w:cs="Calibri"/>
        </w:rPr>
        <w:t xml:space="preserve">cette </w:t>
      </w:r>
      <w:r w:rsidR="00E074E3" w:rsidRPr="003F324E">
        <w:rPr>
          <w:rFonts w:ascii="Calibri" w:hAnsi="Calibri" w:cs="Calibri"/>
        </w:rPr>
        <w:t>C</w:t>
      </w:r>
      <w:r w:rsidR="00AE1FCB" w:rsidRPr="003F324E">
        <w:rPr>
          <w:rFonts w:ascii="Calibri" w:hAnsi="Calibri" w:cs="Calibri"/>
        </w:rPr>
        <w:t>hart</w:t>
      </w:r>
      <w:r w:rsidR="00DD7602" w:rsidRPr="003F324E">
        <w:rPr>
          <w:rFonts w:ascii="Calibri" w:hAnsi="Calibri" w:cs="Calibri"/>
        </w:rPr>
        <w:t>e, toute discrimination fondée sur le sexe, la situation matrimoniale, ou tout autre critère subjectif, est interdite.</w:t>
      </w:r>
      <w:r w:rsidR="00CB313B" w:rsidRPr="003F324E">
        <w:rPr>
          <w:rStyle w:val="Appelnotedebasdep"/>
          <w:rFonts w:ascii="Calibri" w:hAnsi="Calibri" w:cs="Calibri"/>
        </w:rPr>
        <w:footnoteReference w:id="4"/>
      </w:r>
      <w:r w:rsidR="00DD7602" w:rsidRPr="003F324E">
        <w:rPr>
          <w:rFonts w:ascii="Calibri" w:hAnsi="Calibri" w:cs="Calibri"/>
        </w:rPr>
        <w:t xml:space="preserve"> Cela inclut l’interdiction de toute discrimination à l’égard des femmes dans l’accès aux compensations liées à la perte de terres agricoles due à des projets miniers, ainsi que dans le processus de gestion foncière.</w:t>
      </w:r>
      <w:r w:rsidR="00A90971" w:rsidRPr="003F324E">
        <w:rPr>
          <w:rStyle w:val="Appelnotedebasdep"/>
          <w:rFonts w:ascii="Calibri" w:hAnsi="Calibri" w:cs="Calibri"/>
        </w:rPr>
        <w:footnoteReference w:id="5"/>
      </w:r>
      <w:r w:rsidR="00DD7602" w:rsidRPr="003F324E">
        <w:rPr>
          <w:rFonts w:ascii="Calibri" w:hAnsi="Calibri" w:cs="Calibri"/>
        </w:rPr>
        <w:t xml:space="preserve"> Les droits des femmes doivent être garantis à travers des mécanismes qui respectent leur dignité et leur statut en tant qu’individus à part entière.</w:t>
      </w:r>
      <w:r w:rsidR="00A90971" w:rsidRPr="003F324E">
        <w:rPr>
          <w:rStyle w:val="Appelnotedebasdep"/>
          <w:rFonts w:ascii="Calibri" w:hAnsi="Calibri" w:cs="Calibri"/>
        </w:rPr>
        <w:footnoteReference w:id="6"/>
      </w:r>
    </w:p>
    <w:p w14:paraId="0157E7F9" w14:textId="528C16B7" w:rsidR="004E608D" w:rsidRPr="003F324E" w:rsidRDefault="00AC05D2" w:rsidP="008D1B74">
      <w:pPr>
        <w:pStyle w:val="NormalWeb"/>
        <w:jc w:val="both"/>
        <w:rPr>
          <w:rFonts w:ascii="Calibri" w:hAnsi="Calibri" w:cs="Calibri"/>
        </w:rPr>
      </w:pPr>
      <w:r w:rsidRPr="003F324E">
        <w:rPr>
          <w:rFonts w:ascii="Calibri" w:hAnsi="Calibri" w:cs="Calibri"/>
        </w:rPr>
        <w:t xml:space="preserve">La directive minière de la CEDEAO en son </w:t>
      </w:r>
      <w:r w:rsidR="00DD37B1" w:rsidRPr="003F324E">
        <w:rPr>
          <w:rFonts w:ascii="Calibri" w:hAnsi="Calibri" w:cs="Calibri"/>
        </w:rPr>
        <w:t xml:space="preserve">Article </w:t>
      </w:r>
      <w:r w:rsidRPr="003F324E">
        <w:rPr>
          <w:rFonts w:ascii="Calibri" w:hAnsi="Calibri" w:cs="Calibri"/>
        </w:rPr>
        <w:t xml:space="preserve">15 prévoit </w:t>
      </w:r>
      <w:r w:rsidR="003F324E" w:rsidRPr="003F324E">
        <w:rPr>
          <w:rFonts w:ascii="Calibri" w:hAnsi="Calibri" w:cs="Calibri"/>
        </w:rPr>
        <w:t>ceci :</w:t>
      </w:r>
      <w:r w:rsidR="00DD37B1" w:rsidRPr="003F324E">
        <w:rPr>
          <w:rFonts w:ascii="Calibri" w:hAnsi="Calibri" w:cs="Calibri"/>
        </w:rPr>
        <w:t xml:space="preserve"> « Les Etats membres, les titulaires de droits ou titres minières et autres entités commerciales impliqués dans l’exploitation minière ont l’impérieux devoir de garantir le respect et de promouvoir les droits de l’homme reconnus sur le plan international y compris les droits des femmes […] »  Les Etats membres ont l’obligation de prendre les dispositions nécessaires pour la réalisation progressive des droits économiques, sociaux et culturels relatifs aux activités minières et pour renforcer le pouvoir des femmes. »</w:t>
      </w:r>
    </w:p>
    <w:p w14:paraId="1448DD5A" w14:textId="1CF0C823" w:rsidR="003D01AC" w:rsidRPr="003F324E" w:rsidRDefault="00AC05D2" w:rsidP="008D1B74">
      <w:pPr>
        <w:pStyle w:val="NormalWeb"/>
        <w:jc w:val="both"/>
        <w:rPr>
          <w:rFonts w:ascii="Calibri" w:hAnsi="Calibri" w:cs="Calibri"/>
        </w:rPr>
      </w:pPr>
      <w:r w:rsidRPr="003F324E">
        <w:rPr>
          <w:rFonts w:ascii="Calibri" w:hAnsi="Calibri" w:cs="Calibri"/>
        </w:rPr>
        <w:t xml:space="preserve">Le consentement libre préalable éclairé doit également </w:t>
      </w:r>
      <w:r w:rsidR="00800E41" w:rsidRPr="003F324E">
        <w:rPr>
          <w:rFonts w:ascii="Calibri" w:hAnsi="Calibri" w:cs="Calibri"/>
        </w:rPr>
        <w:t>bénéficier</w:t>
      </w:r>
      <w:r w:rsidRPr="003F324E">
        <w:rPr>
          <w:rFonts w:ascii="Calibri" w:hAnsi="Calibri" w:cs="Calibri"/>
        </w:rPr>
        <w:t xml:space="preserve"> dans la mise en œuvre des projets </w:t>
      </w:r>
      <w:r w:rsidR="00800E41" w:rsidRPr="003F324E">
        <w:rPr>
          <w:rFonts w:ascii="Calibri" w:hAnsi="Calibri" w:cs="Calibri"/>
        </w:rPr>
        <w:t>extractifs comme le souligne l’article 16 de la directive minière de la CEDEAO</w:t>
      </w:r>
      <w:r w:rsidR="003F324E" w:rsidRPr="003F324E">
        <w:rPr>
          <w:rFonts w:ascii="Calibri" w:hAnsi="Calibri" w:cs="Calibri"/>
        </w:rPr>
        <w:t>. «</w:t>
      </w:r>
      <w:r w:rsidR="003D01AC" w:rsidRPr="003F324E">
        <w:rPr>
          <w:rFonts w:ascii="Calibri" w:hAnsi="Calibri" w:cs="Calibri"/>
        </w:rPr>
        <w:t> Les sociétés minières doivent obtenir le consentement libre, préalable et éclairé des communautés locales avant le démarrage de l’exploration et avant le début de chaque phase successive de l’exploration minière ainsi que des opérations après-mine.</w:t>
      </w:r>
      <w:r w:rsidR="00CE7231" w:rsidRPr="003F324E">
        <w:rPr>
          <w:rFonts w:ascii="Calibri" w:hAnsi="Calibri" w:cs="Calibri"/>
        </w:rPr>
        <w:t> »</w:t>
      </w:r>
      <w:r w:rsidR="004E608D" w:rsidRPr="003F324E">
        <w:rPr>
          <w:rFonts w:ascii="Calibri" w:hAnsi="Calibri" w:cs="Calibri"/>
        </w:rPr>
        <w:t>]</w:t>
      </w:r>
    </w:p>
    <w:p w14:paraId="33BE19DE" w14:textId="7DDF7122" w:rsidR="00201D11" w:rsidRPr="003F324E" w:rsidRDefault="00800E41" w:rsidP="008D1B74">
      <w:pPr>
        <w:pStyle w:val="NormalWeb"/>
        <w:jc w:val="both"/>
        <w:rPr>
          <w:rFonts w:ascii="Calibri" w:hAnsi="Calibri" w:cs="Calibri"/>
        </w:rPr>
      </w:pPr>
      <w:r w:rsidRPr="003F324E">
        <w:rPr>
          <w:rFonts w:ascii="Calibri" w:hAnsi="Calibri" w:cs="Calibri"/>
        </w:rPr>
        <w:t xml:space="preserve">De même, </w:t>
      </w:r>
      <w:r w:rsidR="00DD37B1" w:rsidRPr="003F324E">
        <w:rPr>
          <w:rFonts w:ascii="Calibri" w:hAnsi="Calibri" w:cs="Calibri"/>
        </w:rPr>
        <w:t>Elle</w:t>
      </w:r>
      <w:r w:rsidR="00EA2E08" w:rsidRPr="003F324E">
        <w:rPr>
          <w:rFonts w:ascii="Calibri" w:hAnsi="Calibri" w:cs="Calibri"/>
        </w:rPr>
        <w:t>s</w:t>
      </w:r>
      <w:r w:rsidR="00DD37B1" w:rsidRPr="003F324E">
        <w:rPr>
          <w:rFonts w:ascii="Calibri" w:hAnsi="Calibri" w:cs="Calibri"/>
        </w:rPr>
        <w:t xml:space="preserve"> ont aussi droit à l’accès à l’inf</w:t>
      </w:r>
      <w:r w:rsidR="00FD46DA" w:rsidRPr="003F324E">
        <w:rPr>
          <w:rFonts w:ascii="Calibri" w:hAnsi="Calibri" w:cs="Calibri"/>
        </w:rPr>
        <w:t>ormatio</w:t>
      </w:r>
      <w:r w:rsidRPr="003F324E">
        <w:rPr>
          <w:rFonts w:ascii="Calibri" w:hAnsi="Calibri" w:cs="Calibri"/>
        </w:rPr>
        <w:t>n</w:t>
      </w:r>
      <w:r w:rsidR="00FD46DA" w:rsidRPr="003F324E">
        <w:rPr>
          <w:rFonts w:ascii="Calibri" w:hAnsi="Calibri" w:cs="Calibri"/>
        </w:rPr>
        <w:t>.</w:t>
      </w:r>
      <w:r w:rsidRPr="003F324E">
        <w:rPr>
          <w:rFonts w:ascii="Calibri" w:hAnsi="Calibri" w:cs="Calibri"/>
        </w:rPr>
        <w:t xml:space="preserve"> Et </w:t>
      </w:r>
      <w:r w:rsidR="00904418" w:rsidRPr="003F324E">
        <w:rPr>
          <w:rFonts w:ascii="Calibri" w:hAnsi="Calibri" w:cs="Calibri"/>
        </w:rPr>
        <w:t>à</w:t>
      </w:r>
      <w:r w:rsidRPr="003F324E">
        <w:rPr>
          <w:rFonts w:ascii="Calibri" w:hAnsi="Calibri" w:cs="Calibri"/>
        </w:rPr>
        <w:t xml:space="preserve"> une </w:t>
      </w:r>
      <w:r w:rsidR="00904418" w:rsidRPr="003F324E">
        <w:rPr>
          <w:rFonts w:ascii="Calibri" w:hAnsi="Calibri" w:cs="Calibri"/>
        </w:rPr>
        <w:t>compensation</w:t>
      </w:r>
      <w:r w:rsidRPr="003F324E">
        <w:rPr>
          <w:rFonts w:ascii="Calibri" w:hAnsi="Calibri" w:cs="Calibri"/>
        </w:rPr>
        <w:t xml:space="preserve"> juste </w:t>
      </w:r>
      <w:r w:rsidR="00201D11" w:rsidRPr="003F324E">
        <w:rPr>
          <w:rFonts w:ascii="Calibri" w:hAnsi="Calibri" w:cs="Calibri"/>
        </w:rPr>
        <w:t>comme stipule</w:t>
      </w:r>
      <w:r w:rsidR="008E500F" w:rsidRPr="003F324E">
        <w:rPr>
          <w:rFonts w:ascii="Calibri" w:hAnsi="Calibri" w:cs="Calibri"/>
        </w:rPr>
        <w:t>, article 28</w:t>
      </w:r>
      <w:r w:rsidRPr="003F324E">
        <w:rPr>
          <w:rFonts w:ascii="Calibri" w:hAnsi="Calibri" w:cs="Calibri"/>
        </w:rPr>
        <w:t xml:space="preserve"> de la Charte de la transition</w:t>
      </w:r>
      <w:r w:rsidR="008E500F" w:rsidRPr="003F324E">
        <w:rPr>
          <w:rFonts w:ascii="Calibri" w:hAnsi="Calibri" w:cs="Calibri"/>
        </w:rPr>
        <w:t>,</w:t>
      </w:r>
      <w:r w:rsidRPr="003F324E">
        <w:rPr>
          <w:rFonts w:ascii="Calibri" w:hAnsi="Calibri" w:cs="Calibri"/>
        </w:rPr>
        <w:t xml:space="preserve"> les Directive</w:t>
      </w:r>
      <w:r w:rsidR="00C33246" w:rsidRPr="003F324E">
        <w:rPr>
          <w:rFonts w:ascii="Calibri" w:hAnsi="Calibri" w:cs="Calibri"/>
        </w:rPr>
        <w:t xml:space="preserve"> minière</w:t>
      </w:r>
      <w:r w:rsidRPr="003F324E">
        <w:rPr>
          <w:rFonts w:ascii="Calibri" w:hAnsi="Calibri" w:cs="Calibri"/>
        </w:rPr>
        <w:t xml:space="preserve"> de la CEDEAO en ces article</w:t>
      </w:r>
      <w:r w:rsidR="00C33246" w:rsidRPr="003F324E">
        <w:rPr>
          <w:rFonts w:ascii="Calibri" w:hAnsi="Calibri" w:cs="Calibri"/>
        </w:rPr>
        <w:t xml:space="preserve"> 4.2 et 4.3.</w:t>
      </w:r>
      <w:r w:rsidRPr="003F324E">
        <w:rPr>
          <w:rFonts w:ascii="Calibri" w:hAnsi="Calibri" w:cs="Calibri"/>
        </w:rPr>
        <w:t xml:space="preserve"> </w:t>
      </w:r>
      <w:r w:rsidR="00201D11" w:rsidRPr="003F324E">
        <w:rPr>
          <w:rFonts w:ascii="Calibri" w:hAnsi="Calibri" w:cs="Calibri"/>
        </w:rPr>
        <w:t>Ainsi</w:t>
      </w:r>
      <w:r w:rsidRPr="003F324E">
        <w:rPr>
          <w:rFonts w:ascii="Calibri" w:hAnsi="Calibri" w:cs="Calibri"/>
        </w:rPr>
        <w:t xml:space="preserve"> que</w:t>
      </w:r>
      <w:r w:rsidR="00C33246" w:rsidRPr="003F324E">
        <w:rPr>
          <w:rFonts w:ascii="Calibri" w:hAnsi="Calibri" w:cs="Calibri"/>
        </w:rPr>
        <w:t xml:space="preserve"> les Directives volontaires </w:t>
      </w:r>
      <w:r w:rsidRPr="003F324E">
        <w:rPr>
          <w:rFonts w:ascii="Calibri" w:hAnsi="Calibri" w:cs="Calibri"/>
        </w:rPr>
        <w:t>de la FAO sur la gouvernance responsable des régimes fonciers</w:t>
      </w:r>
      <w:r w:rsidR="00C33246" w:rsidRPr="003F324E">
        <w:rPr>
          <w:rFonts w:ascii="Calibri" w:hAnsi="Calibri" w:cs="Calibri"/>
        </w:rPr>
        <w:t>.</w:t>
      </w:r>
    </w:p>
    <w:p w14:paraId="3DC157BF" w14:textId="5F3DB811" w:rsidR="007E1398" w:rsidRPr="003F324E" w:rsidRDefault="00201D11" w:rsidP="008D1B74">
      <w:pPr>
        <w:pStyle w:val="NormalWeb"/>
        <w:jc w:val="both"/>
        <w:rPr>
          <w:rFonts w:ascii="Calibri" w:hAnsi="Calibri" w:cs="Calibri"/>
        </w:rPr>
      </w:pPr>
      <w:r w:rsidRPr="003F324E">
        <w:rPr>
          <w:rFonts w:ascii="Calibri" w:hAnsi="Calibri" w:cs="Calibri"/>
        </w:rPr>
        <w:t xml:space="preserve"> Il faut aussi mentionner que les femmes ont droit d’accès à des voies de recours d’où la nécessité pour les entreprises de mettre en place  </w:t>
      </w:r>
      <w:r w:rsidR="007E1398" w:rsidRPr="003F324E">
        <w:rPr>
          <w:rFonts w:ascii="Calibri" w:hAnsi="Calibri" w:cs="Calibri"/>
        </w:rPr>
        <w:t xml:space="preserve"> de</w:t>
      </w:r>
      <w:r w:rsidRPr="003F324E">
        <w:rPr>
          <w:rFonts w:ascii="Calibri" w:hAnsi="Calibri" w:cs="Calibri"/>
        </w:rPr>
        <w:t>s</w:t>
      </w:r>
      <w:r w:rsidR="007E1398" w:rsidRPr="003F324E">
        <w:rPr>
          <w:rFonts w:ascii="Calibri" w:hAnsi="Calibri" w:cs="Calibri"/>
        </w:rPr>
        <w:t xml:space="preserve"> mécanismes de gestion de plaintes conformément aux Principes directeurs relatifs aux entreprises et aux droits de l’homme, qui </w:t>
      </w:r>
      <w:r w:rsidR="007E1398" w:rsidRPr="003F324E">
        <w:rPr>
          <w:rFonts w:ascii="Calibri" w:hAnsi="Calibri" w:cs="Calibri"/>
        </w:rPr>
        <w:lastRenderedPageBreak/>
        <w:t>exigent</w:t>
      </w:r>
      <w:r w:rsidRPr="003F324E">
        <w:rPr>
          <w:rFonts w:ascii="Calibri" w:hAnsi="Calibri" w:cs="Calibri"/>
        </w:rPr>
        <w:t xml:space="preserve"> notamment en son</w:t>
      </w:r>
      <w:r w:rsidR="007E1398" w:rsidRPr="003F324E">
        <w:rPr>
          <w:rFonts w:ascii="Calibri" w:hAnsi="Calibri" w:cs="Calibri"/>
        </w:rPr>
        <w:t xml:space="preserve"> principe 31</w:t>
      </w:r>
      <w:r w:rsidRPr="003F324E">
        <w:rPr>
          <w:rFonts w:ascii="Calibri" w:hAnsi="Calibri" w:cs="Calibri"/>
        </w:rPr>
        <w:t xml:space="preserve"> </w:t>
      </w:r>
      <w:r w:rsidR="007E1398" w:rsidRPr="003F324E">
        <w:rPr>
          <w:rFonts w:ascii="Calibri" w:hAnsi="Calibri" w:cs="Calibri"/>
        </w:rPr>
        <w:t>que tout mécanisme de réclamation soit légitime, accessible, prévisible, équitable, transparent, et respectueux des droits de l’homme.</w:t>
      </w:r>
      <w:r w:rsidRPr="003F324E">
        <w:rPr>
          <w:rFonts w:ascii="Calibri" w:hAnsi="Calibri" w:cs="Calibri"/>
        </w:rPr>
        <w:t xml:space="preserve"> </w:t>
      </w:r>
    </w:p>
    <w:p w14:paraId="041D2DB3" w14:textId="042D8C00" w:rsidR="00D54646" w:rsidRPr="003F324E" w:rsidRDefault="00201D11" w:rsidP="008D1B74">
      <w:pPr>
        <w:pStyle w:val="NormalWeb"/>
        <w:jc w:val="both"/>
        <w:rPr>
          <w:rFonts w:ascii="Calibri" w:hAnsi="Calibri" w:cs="Calibri"/>
        </w:rPr>
      </w:pPr>
      <w:r w:rsidRPr="003F324E">
        <w:rPr>
          <w:rFonts w:ascii="Calibri" w:hAnsi="Calibri" w:cs="Calibri"/>
        </w:rPr>
        <w:t xml:space="preserve">Pour le cas du projet </w:t>
      </w:r>
      <w:r w:rsidR="00792514" w:rsidRPr="003F324E">
        <w:rPr>
          <w:rFonts w:ascii="Calibri" w:hAnsi="Calibri" w:cs="Calibri"/>
        </w:rPr>
        <w:t>S</w:t>
      </w:r>
      <w:r w:rsidRPr="003F324E">
        <w:rPr>
          <w:rFonts w:ascii="Calibri" w:hAnsi="Calibri" w:cs="Calibri"/>
        </w:rPr>
        <w:t xml:space="preserve">imandou, la plupart des impactés n’ont pas accès aux voies de recours fautes de mises en œuvre correcte des mécanismes de gestion des plaintes des entreprises. Cette situation se traduit par le non </w:t>
      </w:r>
      <w:r w:rsidR="00D0155D" w:rsidRPr="003F324E">
        <w:rPr>
          <w:rFonts w:ascii="Calibri" w:hAnsi="Calibri" w:cs="Calibri"/>
        </w:rPr>
        <w:t>accès et la non maitrise   du mécanismes par les communautés y compris les femmes.</w:t>
      </w:r>
      <w:r w:rsidRPr="003F324E">
        <w:rPr>
          <w:rFonts w:ascii="Calibri" w:hAnsi="Calibri" w:cs="Calibri"/>
        </w:rPr>
        <w:t xml:space="preserve"> </w:t>
      </w:r>
      <w:r w:rsidR="00D0155D" w:rsidRPr="003F324E">
        <w:rPr>
          <w:rFonts w:ascii="Calibri" w:hAnsi="Calibri" w:cs="Calibri"/>
        </w:rPr>
        <w:t xml:space="preserve">Cet état de fait est relevé par Action Mines dans </w:t>
      </w:r>
      <w:r w:rsidR="00C756B6" w:rsidRPr="003F324E">
        <w:rPr>
          <w:rFonts w:ascii="Calibri" w:hAnsi="Calibri" w:cs="Calibri"/>
        </w:rPr>
        <w:t xml:space="preserve">son </w:t>
      </w:r>
      <w:r w:rsidR="00D0155D" w:rsidRPr="003F324E">
        <w:rPr>
          <w:rFonts w:ascii="Calibri" w:hAnsi="Calibri" w:cs="Calibri"/>
        </w:rPr>
        <w:t xml:space="preserve">rapport annuelle de suivi des impacts du projet </w:t>
      </w:r>
      <w:r w:rsidR="00792514" w:rsidRPr="003F324E">
        <w:rPr>
          <w:rFonts w:ascii="Calibri" w:hAnsi="Calibri" w:cs="Calibri"/>
        </w:rPr>
        <w:t>S</w:t>
      </w:r>
      <w:r w:rsidR="00D0155D" w:rsidRPr="003F324E">
        <w:rPr>
          <w:rFonts w:ascii="Calibri" w:hAnsi="Calibri" w:cs="Calibri"/>
        </w:rPr>
        <w:t>imandou.</w:t>
      </w:r>
      <w:r w:rsidR="00ED4689" w:rsidRPr="003F324E">
        <w:rPr>
          <w:rFonts w:ascii="Calibri" w:hAnsi="Calibri" w:cs="Calibri"/>
        </w:rPr>
        <w:t xml:space="preserve"> </w:t>
      </w:r>
    </w:p>
    <w:p w14:paraId="29A5E86A" w14:textId="3D34F52E" w:rsidR="001F724E" w:rsidRPr="003F324E" w:rsidRDefault="00D54646" w:rsidP="008D1B74">
      <w:pPr>
        <w:pStyle w:val="NormalWeb"/>
        <w:jc w:val="both"/>
        <w:rPr>
          <w:rFonts w:ascii="Calibri" w:hAnsi="Calibri" w:cs="Calibri"/>
        </w:rPr>
      </w:pPr>
      <w:r w:rsidRPr="003F324E">
        <w:rPr>
          <w:rFonts w:ascii="Calibri" w:hAnsi="Calibri" w:cs="Calibri"/>
        </w:rPr>
        <w:t>La</w:t>
      </w:r>
      <w:r w:rsidR="00ED4689" w:rsidRPr="003F324E">
        <w:rPr>
          <w:rFonts w:ascii="Calibri" w:hAnsi="Calibri" w:cs="Calibri"/>
        </w:rPr>
        <w:t xml:space="preserve"> norme de performance 5 de la SFI prévoit </w:t>
      </w:r>
      <w:r w:rsidR="003F324E" w:rsidRPr="003F324E">
        <w:rPr>
          <w:rFonts w:ascii="Calibri" w:hAnsi="Calibri" w:cs="Calibri"/>
        </w:rPr>
        <w:t>qu’«</w:t>
      </w:r>
      <w:r w:rsidR="00792514" w:rsidRPr="003F324E">
        <w:rPr>
          <w:rFonts w:ascii="Calibri" w:hAnsi="Calibri" w:cs="Calibri"/>
        </w:rPr>
        <w:t> </w:t>
      </w:r>
      <w:r w:rsidR="00ED4689" w:rsidRPr="003F324E">
        <w:rPr>
          <w:rFonts w:ascii="Calibri" w:hAnsi="Calibri" w:cs="Calibri"/>
        </w:rPr>
        <w:t xml:space="preserve">En cas de déplacement économique, un Plan de restauration des moyens d’existence est mis en place pour assurer une indemnisation équitable et transparente aux personnes ou communautés affectées. </w:t>
      </w:r>
      <w:r w:rsidRPr="003F324E">
        <w:rPr>
          <w:rFonts w:ascii="Calibri" w:hAnsi="Calibri" w:cs="Calibri"/>
        </w:rPr>
        <w:t>Cette norme à laquelle Rio Tinto</w:t>
      </w:r>
      <w:r w:rsidR="00792514" w:rsidRPr="003F324E">
        <w:rPr>
          <w:rFonts w:ascii="Calibri" w:hAnsi="Calibri" w:cs="Calibri"/>
        </w:rPr>
        <w:t xml:space="preserve"> Simfer</w:t>
      </w:r>
      <w:r w:rsidRPr="003F324E">
        <w:rPr>
          <w:rFonts w:ascii="Calibri" w:hAnsi="Calibri" w:cs="Calibri"/>
        </w:rPr>
        <w:t xml:space="preserve"> Winning consortium ont souscrit exige des promoteurs de l’information, du consentement de la participation et plus de transparence vis-à-vis des personnes impactées par leurs activités. Il est également exigé l’établissement des voies de recours juste et accessibles.</w:t>
      </w:r>
    </w:p>
    <w:p w14:paraId="651B6F16" w14:textId="66C5CE96" w:rsidR="00DD7602" w:rsidRPr="003F324E" w:rsidRDefault="00532131" w:rsidP="00F94845">
      <w:pPr>
        <w:pStyle w:val="Titre1"/>
        <w:rPr>
          <w:rFonts w:ascii="Calibri" w:hAnsi="Calibri" w:cs="Calibri"/>
          <w:color w:val="000000" w:themeColor="text1"/>
        </w:rPr>
      </w:pPr>
      <w:bookmarkStart w:id="3" w:name="_Toc192575066"/>
      <w:r w:rsidRPr="003F324E">
        <w:rPr>
          <w:rStyle w:val="lev"/>
          <w:rFonts w:ascii="Calibri" w:hAnsi="Calibri" w:cs="Calibri"/>
          <w:color w:val="000000" w:themeColor="text1"/>
        </w:rPr>
        <w:t xml:space="preserve">4. </w:t>
      </w:r>
      <w:r w:rsidR="00DD7602" w:rsidRPr="003F324E">
        <w:rPr>
          <w:rStyle w:val="lev"/>
          <w:rFonts w:ascii="Calibri" w:hAnsi="Calibri" w:cs="Calibri"/>
          <w:color w:val="000000" w:themeColor="text1"/>
        </w:rPr>
        <w:t xml:space="preserve">Le projet Simandou : </w:t>
      </w:r>
      <w:r w:rsidR="6441C2F8" w:rsidRPr="003F324E">
        <w:rPr>
          <w:rStyle w:val="lev"/>
          <w:rFonts w:ascii="Calibri" w:hAnsi="Calibri" w:cs="Calibri"/>
          <w:color w:val="000000" w:themeColor="text1"/>
        </w:rPr>
        <w:t>princi</w:t>
      </w:r>
      <w:r w:rsidR="00833578" w:rsidRPr="003F324E">
        <w:rPr>
          <w:rStyle w:val="lev"/>
          <w:rFonts w:ascii="Calibri" w:hAnsi="Calibri" w:cs="Calibri"/>
          <w:color w:val="000000" w:themeColor="text1"/>
        </w:rPr>
        <w:t xml:space="preserve">paux </w:t>
      </w:r>
      <w:r w:rsidR="00412449" w:rsidRPr="003F324E">
        <w:rPr>
          <w:rStyle w:val="lev"/>
          <w:rFonts w:ascii="Calibri" w:hAnsi="Calibri" w:cs="Calibri"/>
          <w:color w:val="000000" w:themeColor="text1"/>
        </w:rPr>
        <w:t>défis aux</w:t>
      </w:r>
      <w:r w:rsidR="00DD7602" w:rsidRPr="003F324E">
        <w:rPr>
          <w:rStyle w:val="lev"/>
          <w:rFonts w:ascii="Calibri" w:hAnsi="Calibri" w:cs="Calibri"/>
          <w:color w:val="000000" w:themeColor="text1"/>
        </w:rPr>
        <w:t xml:space="preserve"> femmes</w:t>
      </w:r>
      <w:bookmarkEnd w:id="3"/>
    </w:p>
    <w:p w14:paraId="688184D2" w14:textId="343010A7" w:rsidR="00DD7602" w:rsidRDefault="00DD7602" w:rsidP="008D1B74">
      <w:pPr>
        <w:pStyle w:val="NormalWeb"/>
        <w:jc w:val="both"/>
        <w:rPr>
          <w:rFonts w:ascii="Calibri" w:hAnsi="Calibri" w:cs="Calibri"/>
        </w:rPr>
      </w:pPr>
      <w:r w:rsidRPr="003F324E">
        <w:rPr>
          <w:rFonts w:ascii="Calibri" w:hAnsi="Calibri" w:cs="Calibri"/>
        </w:rPr>
        <w:t>Dans le cadre du projet Simandou, plusieurs défis spécifiques affectent les femmes, en particulier en ce qui concerne l’accès à l’information, la consultation, l’association dans les processus décisionnels et l’accès aux terres</w:t>
      </w:r>
      <w:r w:rsidR="00780FC1" w:rsidRPr="003F324E">
        <w:rPr>
          <w:rFonts w:ascii="Calibri" w:hAnsi="Calibri" w:cs="Calibri"/>
        </w:rPr>
        <w:t>,</w:t>
      </w:r>
      <w:r w:rsidR="00727C0D" w:rsidRPr="003F324E">
        <w:rPr>
          <w:rFonts w:ascii="Calibri" w:hAnsi="Calibri" w:cs="Calibri"/>
        </w:rPr>
        <w:t xml:space="preserve"> la faible compensa</w:t>
      </w:r>
      <w:r w:rsidR="0049447D" w:rsidRPr="003F324E">
        <w:rPr>
          <w:rFonts w:ascii="Calibri" w:hAnsi="Calibri" w:cs="Calibri"/>
        </w:rPr>
        <w:t>tion</w:t>
      </w:r>
      <w:r w:rsidR="00780FC1" w:rsidRPr="003F324E">
        <w:rPr>
          <w:rFonts w:ascii="Calibri" w:hAnsi="Calibri" w:cs="Calibri"/>
        </w:rPr>
        <w:t xml:space="preserve"> et le manque d’accès aux </w:t>
      </w:r>
      <w:r w:rsidR="00CE13C8" w:rsidRPr="003F324E">
        <w:rPr>
          <w:rFonts w:ascii="Calibri" w:hAnsi="Calibri" w:cs="Calibri"/>
        </w:rPr>
        <w:t>mécanismes</w:t>
      </w:r>
      <w:r w:rsidR="00780FC1" w:rsidRPr="003F324E">
        <w:rPr>
          <w:rFonts w:ascii="Calibri" w:hAnsi="Calibri" w:cs="Calibri"/>
        </w:rPr>
        <w:t xml:space="preserve"> de </w:t>
      </w:r>
      <w:r w:rsidR="00CE13C8" w:rsidRPr="003F324E">
        <w:rPr>
          <w:rFonts w:ascii="Calibri" w:hAnsi="Calibri" w:cs="Calibri"/>
        </w:rPr>
        <w:t>gestion des plaintes</w:t>
      </w:r>
      <w:r w:rsidRPr="003F324E">
        <w:rPr>
          <w:rFonts w:ascii="Calibri" w:hAnsi="Calibri" w:cs="Calibri"/>
        </w:rPr>
        <w:t>. Ces défis sont accentués par les inégalités de genre et les normes culturelles qui limitent leur participation et leur capacité à revendiquer des droits équitables.</w:t>
      </w:r>
    </w:p>
    <w:p w14:paraId="201F0270" w14:textId="77777777" w:rsidR="00510710" w:rsidRDefault="00510710" w:rsidP="00510710">
      <w:pPr>
        <w:keepNext/>
        <w:spacing w:before="100" w:beforeAutospacing="1" w:after="100" w:afterAutospacing="1"/>
      </w:pPr>
      <w:r w:rsidRPr="00510710">
        <w:rPr>
          <w:rFonts w:ascii="Times New Roman" w:eastAsia="Times New Roman" w:hAnsi="Times New Roman" w:cs="Times New Roman"/>
          <w:noProof/>
          <w:kern w:val="0"/>
          <w:lang w:eastAsia="fr-FR"/>
          <w14:ligatures w14:val="none"/>
        </w:rPr>
        <w:drawing>
          <wp:inline distT="0" distB="0" distL="0" distR="0" wp14:anchorId="2A4DC02E" wp14:editId="61C2ADC9">
            <wp:extent cx="5760720" cy="30118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11805"/>
                    </a:xfrm>
                    <a:prstGeom prst="rect">
                      <a:avLst/>
                    </a:prstGeom>
                    <a:noFill/>
                    <a:ln>
                      <a:noFill/>
                    </a:ln>
                  </pic:spPr>
                </pic:pic>
              </a:graphicData>
            </a:graphic>
          </wp:inline>
        </w:drawing>
      </w:r>
    </w:p>
    <w:p w14:paraId="32FB9336" w14:textId="5D4926CD" w:rsidR="0013134D" w:rsidRPr="00510710" w:rsidRDefault="00510710" w:rsidP="00510710">
      <w:pPr>
        <w:pStyle w:val="Lgende"/>
        <w:rPr>
          <w:rFonts w:ascii="Times New Roman" w:eastAsia="Times New Roman" w:hAnsi="Times New Roman" w:cs="Times New Roman"/>
          <w:kern w:val="0"/>
          <w:lang w:eastAsia="fr-FR"/>
          <w14:ligatures w14:val="none"/>
        </w:rPr>
      </w:pPr>
      <w:r>
        <w:t xml:space="preserve">Figure </w:t>
      </w:r>
      <w:fldSimple w:instr=" SEQ Figure \* ARABIC ">
        <w:r>
          <w:rPr>
            <w:noProof/>
          </w:rPr>
          <w:t>2</w:t>
        </w:r>
      </w:fldSimple>
      <w:r>
        <w:t xml:space="preserve"> Séance de réunion avec le comité de suivi des impacts du projet Simandou à Sékhou-soryah (Madina-Oula Kindia)</w:t>
      </w:r>
    </w:p>
    <w:p w14:paraId="4BD1575C" w14:textId="4E2C5C40" w:rsidR="00DD7602" w:rsidRPr="003F324E" w:rsidRDefault="00EE0489" w:rsidP="00F94845">
      <w:pPr>
        <w:pStyle w:val="Titre2"/>
        <w:rPr>
          <w:rFonts w:ascii="Calibri" w:hAnsi="Calibri" w:cs="Calibri"/>
          <w:color w:val="000000" w:themeColor="text1"/>
        </w:rPr>
      </w:pPr>
      <w:bookmarkStart w:id="4" w:name="_Toc192575067"/>
      <w:r w:rsidRPr="003F324E">
        <w:rPr>
          <w:rStyle w:val="lev"/>
          <w:rFonts w:ascii="Calibri" w:hAnsi="Calibri" w:cs="Calibri"/>
          <w:color w:val="000000" w:themeColor="text1"/>
        </w:rPr>
        <w:lastRenderedPageBreak/>
        <w:t xml:space="preserve">4.1 </w:t>
      </w:r>
      <w:r w:rsidR="476F3691" w:rsidRPr="003F324E">
        <w:rPr>
          <w:rStyle w:val="lev"/>
          <w:rFonts w:ascii="Calibri" w:hAnsi="Calibri" w:cs="Calibri"/>
          <w:color w:val="000000" w:themeColor="text1"/>
        </w:rPr>
        <w:t>Faible</w:t>
      </w:r>
      <w:r w:rsidR="001A2F9E" w:rsidRPr="003F324E">
        <w:rPr>
          <w:rStyle w:val="lev"/>
          <w:rFonts w:ascii="Calibri" w:hAnsi="Calibri" w:cs="Calibri"/>
          <w:color w:val="000000" w:themeColor="text1"/>
        </w:rPr>
        <w:t xml:space="preserve"> </w:t>
      </w:r>
      <w:r w:rsidR="617EFB86" w:rsidRPr="003F324E">
        <w:rPr>
          <w:rStyle w:val="lev"/>
          <w:rFonts w:ascii="Calibri" w:hAnsi="Calibri" w:cs="Calibri"/>
          <w:color w:val="000000" w:themeColor="text1"/>
        </w:rPr>
        <w:t>a</w:t>
      </w:r>
      <w:r w:rsidR="00AE2BBF" w:rsidRPr="003F324E">
        <w:rPr>
          <w:rStyle w:val="lev"/>
          <w:rFonts w:ascii="Calibri" w:hAnsi="Calibri" w:cs="Calibri"/>
          <w:color w:val="000000" w:themeColor="text1"/>
        </w:rPr>
        <w:t>ccès</w:t>
      </w:r>
      <w:r w:rsidR="001A2F9E" w:rsidRPr="003F324E">
        <w:rPr>
          <w:rStyle w:val="lev"/>
          <w:rFonts w:ascii="Calibri" w:hAnsi="Calibri" w:cs="Calibri"/>
          <w:color w:val="000000" w:themeColor="text1"/>
        </w:rPr>
        <w:t xml:space="preserve"> à l’i</w:t>
      </w:r>
      <w:r w:rsidR="00DD7602" w:rsidRPr="003F324E">
        <w:rPr>
          <w:rStyle w:val="lev"/>
          <w:rFonts w:ascii="Calibri" w:hAnsi="Calibri" w:cs="Calibri"/>
          <w:color w:val="000000" w:themeColor="text1"/>
        </w:rPr>
        <w:t>nformation</w:t>
      </w:r>
      <w:bookmarkEnd w:id="4"/>
    </w:p>
    <w:p w14:paraId="391153EA" w14:textId="2FD17C72" w:rsidR="00DD7602" w:rsidRPr="003F324E" w:rsidRDefault="00DD7602" w:rsidP="008D1B74">
      <w:pPr>
        <w:pStyle w:val="NormalWeb"/>
        <w:jc w:val="both"/>
        <w:rPr>
          <w:rFonts w:ascii="Calibri" w:hAnsi="Calibri" w:cs="Calibri"/>
        </w:rPr>
      </w:pPr>
      <w:r w:rsidRPr="003F324E">
        <w:rPr>
          <w:rFonts w:ascii="Calibri" w:hAnsi="Calibri" w:cs="Calibri"/>
        </w:rPr>
        <w:t>Les femmes, particulièrement dans les zones rurales, sont souvent exclues des canaux d’information relatifs aux projets miniers. Le manque d’accès à l’information les empêche de comprendre les implications des projets sur leurs vies et leurs terres. Dans le cas du projet Simandou, elles sont fréquemment sous-représentées dans les réunions communautaires et ont un accès limité aux informations essentielles sur les projets miniers, ce qui restreint leur capacité à se préparer aux changements et à défendre leurs droits.</w:t>
      </w:r>
      <w:r w:rsidR="00D0155D" w:rsidRPr="003F324E">
        <w:rPr>
          <w:rFonts w:ascii="Calibri" w:hAnsi="Calibri" w:cs="Calibri"/>
        </w:rPr>
        <w:t xml:space="preserve"> </w:t>
      </w:r>
      <w:r w:rsidR="00E12227" w:rsidRPr="003F324E">
        <w:rPr>
          <w:rFonts w:ascii="Calibri" w:hAnsi="Calibri" w:cs="Calibri"/>
        </w:rPr>
        <w:t>La faible information</w:t>
      </w:r>
      <w:r w:rsidR="00D0155D" w:rsidRPr="003F324E">
        <w:rPr>
          <w:rFonts w:ascii="Calibri" w:hAnsi="Calibri" w:cs="Calibri"/>
        </w:rPr>
        <w:t xml:space="preserve"> des femmes s’explique par le faible niveau de consultation des communautés opérer par les entreprises. </w:t>
      </w:r>
      <w:r w:rsidR="003B171E" w:rsidRPr="003F324E">
        <w:rPr>
          <w:rFonts w:ascii="Calibri" w:hAnsi="Calibri" w:cs="Calibri"/>
        </w:rPr>
        <w:t>C’est le cas de</w:t>
      </w:r>
      <w:r w:rsidR="00D0155D" w:rsidRPr="003F324E">
        <w:rPr>
          <w:rFonts w:ascii="Calibri" w:hAnsi="Calibri" w:cs="Calibri"/>
        </w:rPr>
        <w:t xml:space="preserve"> Djenaba Mansaré </w:t>
      </w:r>
      <w:r w:rsidR="005C7021" w:rsidRPr="003F324E">
        <w:rPr>
          <w:rFonts w:ascii="Calibri" w:hAnsi="Calibri" w:cs="Calibri"/>
        </w:rPr>
        <w:t>impactée par le chemin de fer pendant notre entretien</w:t>
      </w:r>
      <w:r w:rsidR="003B171E" w:rsidRPr="003F324E">
        <w:rPr>
          <w:rFonts w:ascii="Calibri" w:hAnsi="Calibri" w:cs="Calibri"/>
        </w:rPr>
        <w:t>, elle a déploré</w:t>
      </w:r>
      <w:r w:rsidR="005C7021" w:rsidRPr="003F324E">
        <w:rPr>
          <w:rFonts w:ascii="Calibri" w:hAnsi="Calibri" w:cs="Calibri"/>
        </w:rPr>
        <w:t xml:space="preserve"> le faible accès à l’information et à la consultation</w:t>
      </w:r>
      <w:r w:rsidR="003B171E" w:rsidRPr="003F324E">
        <w:rPr>
          <w:rFonts w:ascii="Calibri" w:hAnsi="Calibri" w:cs="Calibri"/>
        </w:rPr>
        <w:t xml:space="preserve"> pour les femmes</w:t>
      </w:r>
      <w:r w:rsidR="005C7021" w:rsidRPr="003F324E">
        <w:rPr>
          <w:rFonts w:ascii="Calibri" w:hAnsi="Calibri" w:cs="Calibri"/>
        </w:rPr>
        <w:t>.</w:t>
      </w:r>
    </w:p>
    <w:p w14:paraId="68CD1CA2" w14:textId="09F76177" w:rsidR="00DD7602" w:rsidRPr="003F324E" w:rsidRDefault="00EE0489" w:rsidP="00F94845">
      <w:pPr>
        <w:pStyle w:val="Titre2"/>
        <w:rPr>
          <w:rFonts w:ascii="Calibri" w:hAnsi="Calibri" w:cs="Calibri"/>
        </w:rPr>
      </w:pPr>
      <w:bookmarkStart w:id="5" w:name="_Toc192575068"/>
      <w:r w:rsidRPr="003F324E">
        <w:rPr>
          <w:rStyle w:val="lev"/>
          <w:rFonts w:ascii="Calibri" w:hAnsi="Calibri" w:cs="Calibri"/>
          <w:color w:val="000000" w:themeColor="text1"/>
        </w:rPr>
        <w:t xml:space="preserve">4.2 </w:t>
      </w:r>
      <w:r w:rsidR="001A2F9E" w:rsidRPr="003F324E">
        <w:rPr>
          <w:rStyle w:val="lev"/>
          <w:rFonts w:ascii="Calibri" w:hAnsi="Calibri" w:cs="Calibri"/>
          <w:color w:val="000000" w:themeColor="text1"/>
        </w:rPr>
        <w:t xml:space="preserve">Faible niveau de </w:t>
      </w:r>
      <w:r w:rsidR="2A043833" w:rsidRPr="003F324E">
        <w:rPr>
          <w:rStyle w:val="lev"/>
          <w:rFonts w:ascii="Calibri" w:hAnsi="Calibri" w:cs="Calibri"/>
          <w:color w:val="000000" w:themeColor="text1"/>
        </w:rPr>
        <w:t>c</w:t>
      </w:r>
      <w:r w:rsidR="00DD7602" w:rsidRPr="003F324E">
        <w:rPr>
          <w:rStyle w:val="lev"/>
          <w:rFonts w:ascii="Calibri" w:hAnsi="Calibri" w:cs="Calibri"/>
          <w:color w:val="000000" w:themeColor="text1"/>
        </w:rPr>
        <w:t>onsultation</w:t>
      </w:r>
      <w:bookmarkEnd w:id="5"/>
    </w:p>
    <w:p w14:paraId="1FD070E2" w14:textId="0C16EF6A" w:rsidR="00DD7602" w:rsidRPr="003F324E" w:rsidRDefault="00DD7602" w:rsidP="008D1B74">
      <w:pPr>
        <w:pStyle w:val="NormalWeb"/>
        <w:jc w:val="both"/>
        <w:rPr>
          <w:rFonts w:ascii="Calibri" w:hAnsi="Calibri" w:cs="Calibri"/>
        </w:rPr>
      </w:pPr>
      <w:r w:rsidRPr="003F324E">
        <w:rPr>
          <w:rFonts w:ascii="Calibri" w:hAnsi="Calibri" w:cs="Calibri"/>
        </w:rPr>
        <w:t>Les consultations publiques sont souvent dominées par des hommes, laissant les femmes marginalisées ou exclues des discussions cruciales. En raison de leur rôle traditionnel dans la sphère domestique, elles sont souvent peu disponibles pour participer aux consultations, ce qui réduit leur capacité à exprimer leurs préoccupations, notamment concernant l’accès à l’eau, l’impact sur les terres agricoles ou la perte de revenus. Même lorsqu’elles réussissent à</w:t>
      </w:r>
      <w:r w:rsidR="003B171E" w:rsidRPr="003F324E">
        <w:rPr>
          <w:rFonts w:ascii="Calibri" w:hAnsi="Calibri" w:cs="Calibri"/>
        </w:rPr>
        <w:t xml:space="preserve"> y</w:t>
      </w:r>
      <w:r w:rsidRPr="003F324E">
        <w:rPr>
          <w:rFonts w:ascii="Calibri" w:hAnsi="Calibri" w:cs="Calibri"/>
        </w:rPr>
        <w:t xml:space="preserve"> participer, leurs préoccupations sont souvent minimisées ou ignorées par les autorités et les entreprises responsables des projets</w:t>
      </w:r>
      <w:r w:rsidR="005C7021" w:rsidRPr="003F324E">
        <w:rPr>
          <w:rFonts w:ascii="Calibri" w:hAnsi="Calibri" w:cs="Calibri"/>
        </w:rPr>
        <w:t xml:space="preserve"> selon les témoignages recueillis auprès des femmes de </w:t>
      </w:r>
      <w:r w:rsidR="003B171E" w:rsidRPr="003F324E">
        <w:rPr>
          <w:rFonts w:ascii="Calibri" w:hAnsi="Calibri" w:cs="Calibri"/>
        </w:rPr>
        <w:t>F</w:t>
      </w:r>
      <w:r w:rsidR="005C7021" w:rsidRPr="003F324E">
        <w:rPr>
          <w:rFonts w:ascii="Calibri" w:hAnsi="Calibri" w:cs="Calibri"/>
        </w:rPr>
        <w:t xml:space="preserve">orécariah, </w:t>
      </w:r>
      <w:r w:rsidR="003B171E" w:rsidRPr="003F324E">
        <w:rPr>
          <w:rFonts w:ascii="Calibri" w:hAnsi="Calibri" w:cs="Calibri"/>
        </w:rPr>
        <w:t>M</w:t>
      </w:r>
      <w:r w:rsidR="005C7021" w:rsidRPr="003F324E">
        <w:rPr>
          <w:rFonts w:ascii="Calibri" w:hAnsi="Calibri" w:cs="Calibri"/>
        </w:rPr>
        <w:t xml:space="preserve">amou et </w:t>
      </w:r>
      <w:r w:rsidR="003B171E" w:rsidRPr="003F324E">
        <w:rPr>
          <w:rFonts w:ascii="Calibri" w:hAnsi="Calibri" w:cs="Calibri"/>
        </w:rPr>
        <w:t>K</w:t>
      </w:r>
      <w:r w:rsidR="005C7021" w:rsidRPr="003F324E">
        <w:rPr>
          <w:rFonts w:ascii="Calibri" w:hAnsi="Calibri" w:cs="Calibri"/>
        </w:rPr>
        <w:t>érouané</w:t>
      </w:r>
      <w:r w:rsidRPr="003F324E">
        <w:rPr>
          <w:rFonts w:ascii="Calibri" w:hAnsi="Calibri" w:cs="Calibri"/>
        </w:rPr>
        <w:t>.</w:t>
      </w:r>
    </w:p>
    <w:p w14:paraId="1A875583" w14:textId="7262C434" w:rsidR="00DD7602" w:rsidRPr="003F324E" w:rsidRDefault="00EE0489" w:rsidP="00F94845">
      <w:pPr>
        <w:pStyle w:val="Titre2"/>
        <w:rPr>
          <w:rFonts w:ascii="Calibri" w:hAnsi="Calibri" w:cs="Calibri"/>
          <w:color w:val="000000" w:themeColor="text1"/>
        </w:rPr>
      </w:pPr>
      <w:bookmarkStart w:id="6" w:name="_Toc192575069"/>
      <w:r w:rsidRPr="003F324E">
        <w:rPr>
          <w:rStyle w:val="lev"/>
          <w:rFonts w:ascii="Calibri" w:hAnsi="Calibri" w:cs="Calibri"/>
          <w:color w:val="000000" w:themeColor="text1"/>
        </w:rPr>
        <w:t xml:space="preserve">4.3 </w:t>
      </w:r>
      <w:r w:rsidR="00C52582" w:rsidRPr="003F324E">
        <w:rPr>
          <w:rStyle w:val="lev"/>
          <w:rFonts w:ascii="Calibri" w:hAnsi="Calibri" w:cs="Calibri"/>
          <w:color w:val="000000" w:themeColor="text1"/>
        </w:rPr>
        <w:t xml:space="preserve">Implication et </w:t>
      </w:r>
      <w:r w:rsidR="00AD29AE" w:rsidRPr="003F324E">
        <w:rPr>
          <w:rStyle w:val="lev"/>
          <w:rFonts w:ascii="Calibri" w:hAnsi="Calibri" w:cs="Calibri"/>
          <w:color w:val="000000" w:themeColor="text1"/>
        </w:rPr>
        <w:t>participation des</w:t>
      </w:r>
      <w:r w:rsidR="007130AD" w:rsidRPr="003F324E">
        <w:rPr>
          <w:rStyle w:val="lev"/>
          <w:rFonts w:ascii="Calibri" w:hAnsi="Calibri" w:cs="Calibri"/>
          <w:color w:val="000000" w:themeColor="text1"/>
        </w:rPr>
        <w:t xml:space="preserve"> femmes dans les instances </w:t>
      </w:r>
      <w:r w:rsidR="00AD29AE" w:rsidRPr="003F324E">
        <w:rPr>
          <w:rStyle w:val="lev"/>
          <w:rFonts w:ascii="Calibri" w:hAnsi="Calibri" w:cs="Calibri"/>
          <w:color w:val="000000" w:themeColor="text1"/>
        </w:rPr>
        <w:t>du projet</w:t>
      </w:r>
      <w:r w:rsidR="007130AD" w:rsidRPr="003F324E">
        <w:rPr>
          <w:rStyle w:val="lev"/>
          <w:rFonts w:ascii="Calibri" w:hAnsi="Calibri" w:cs="Calibri"/>
          <w:color w:val="000000" w:themeColor="text1"/>
        </w:rPr>
        <w:t xml:space="preserve"> </w:t>
      </w:r>
      <w:r w:rsidR="008F7672" w:rsidRPr="003F324E">
        <w:rPr>
          <w:rStyle w:val="lev"/>
          <w:rFonts w:ascii="Calibri" w:hAnsi="Calibri" w:cs="Calibri"/>
          <w:color w:val="000000" w:themeColor="text1"/>
        </w:rPr>
        <w:t>S</w:t>
      </w:r>
      <w:r w:rsidR="007130AD" w:rsidRPr="003F324E">
        <w:rPr>
          <w:rStyle w:val="lev"/>
          <w:rFonts w:ascii="Calibri" w:hAnsi="Calibri" w:cs="Calibri"/>
          <w:color w:val="000000" w:themeColor="text1"/>
        </w:rPr>
        <w:t>imandou</w:t>
      </w:r>
      <w:bookmarkEnd w:id="6"/>
    </w:p>
    <w:p w14:paraId="54E83A09" w14:textId="2041204B" w:rsidR="00DD7602" w:rsidRPr="003F324E" w:rsidRDefault="00DD7602" w:rsidP="008D1B74">
      <w:pPr>
        <w:pStyle w:val="NormalWeb"/>
        <w:jc w:val="both"/>
        <w:rPr>
          <w:rFonts w:ascii="Calibri" w:hAnsi="Calibri" w:cs="Calibri"/>
        </w:rPr>
      </w:pPr>
      <w:r w:rsidRPr="003F324E">
        <w:rPr>
          <w:rFonts w:ascii="Calibri" w:hAnsi="Calibri" w:cs="Calibri"/>
          <w:color w:val="000000" w:themeColor="text1"/>
        </w:rPr>
        <w:t xml:space="preserve">Les structures de gouvernance mises en place pour gérer le projet </w:t>
      </w:r>
      <w:r w:rsidR="008F7672" w:rsidRPr="003F324E">
        <w:rPr>
          <w:rFonts w:ascii="Calibri" w:hAnsi="Calibri" w:cs="Calibri"/>
          <w:color w:val="000000" w:themeColor="text1"/>
        </w:rPr>
        <w:t>S</w:t>
      </w:r>
      <w:r w:rsidR="001A2F9E" w:rsidRPr="003F324E">
        <w:rPr>
          <w:rFonts w:ascii="Calibri" w:hAnsi="Calibri" w:cs="Calibri"/>
          <w:color w:val="000000" w:themeColor="text1"/>
        </w:rPr>
        <w:t>imandou</w:t>
      </w:r>
      <w:r w:rsidRPr="003F324E">
        <w:rPr>
          <w:rFonts w:ascii="Calibri" w:hAnsi="Calibri" w:cs="Calibri"/>
          <w:color w:val="000000" w:themeColor="text1"/>
        </w:rPr>
        <w:t xml:space="preserve">, telles que </w:t>
      </w:r>
      <w:r w:rsidRPr="003F324E">
        <w:rPr>
          <w:rFonts w:ascii="Calibri" w:hAnsi="Calibri" w:cs="Calibri"/>
        </w:rPr>
        <w:t>les comités de suivi ou de gestion des compensations, sont généralement dominées par des hommes. En conséquence, les femmes ont peu de place dans ces instances décisionnelles. De plus, elles manquent souvent de ressources, de temps et de soutien pour s’impliquer activement dans ces processus, ce qui limite leur capacité à influencer les décisions qui affectent directement leurs vies et leurs communautés.</w:t>
      </w:r>
      <w:r w:rsidR="005C7021" w:rsidRPr="003F324E">
        <w:rPr>
          <w:rFonts w:ascii="Calibri" w:hAnsi="Calibri" w:cs="Calibri"/>
        </w:rPr>
        <w:t xml:space="preserve"> Djenaba </w:t>
      </w:r>
      <w:r w:rsidR="008E117D" w:rsidRPr="003F324E">
        <w:rPr>
          <w:rFonts w:ascii="Calibri" w:hAnsi="Calibri" w:cs="Calibri"/>
        </w:rPr>
        <w:t>M</w:t>
      </w:r>
      <w:r w:rsidR="005C7021" w:rsidRPr="003F324E">
        <w:rPr>
          <w:rFonts w:ascii="Calibri" w:hAnsi="Calibri" w:cs="Calibri"/>
        </w:rPr>
        <w:t xml:space="preserve">ansaré impactée par le chemin de fer à </w:t>
      </w:r>
      <w:r w:rsidR="00412449" w:rsidRPr="003F324E">
        <w:rPr>
          <w:rFonts w:ascii="Calibri" w:hAnsi="Calibri" w:cs="Calibri"/>
        </w:rPr>
        <w:t>Mamou</w:t>
      </w:r>
      <w:r w:rsidR="005C7021" w:rsidRPr="003F324E">
        <w:rPr>
          <w:rFonts w:ascii="Calibri" w:hAnsi="Calibri" w:cs="Calibri"/>
        </w:rPr>
        <w:t>, déplore la fai</w:t>
      </w:r>
      <w:r w:rsidR="00412449" w:rsidRPr="003F324E">
        <w:rPr>
          <w:rFonts w:ascii="Calibri" w:hAnsi="Calibri" w:cs="Calibri"/>
        </w:rPr>
        <w:t>ble</w:t>
      </w:r>
      <w:r w:rsidR="005C7021" w:rsidRPr="003F324E">
        <w:rPr>
          <w:rFonts w:ascii="Calibri" w:hAnsi="Calibri" w:cs="Calibri"/>
        </w:rPr>
        <w:t xml:space="preserve"> </w:t>
      </w:r>
      <w:r w:rsidR="00412449" w:rsidRPr="003F324E">
        <w:rPr>
          <w:rFonts w:ascii="Calibri" w:hAnsi="Calibri" w:cs="Calibri"/>
        </w:rPr>
        <w:t>représentativité</w:t>
      </w:r>
      <w:r w:rsidR="005C7021" w:rsidRPr="003F324E">
        <w:rPr>
          <w:rFonts w:ascii="Calibri" w:hAnsi="Calibri" w:cs="Calibri"/>
        </w:rPr>
        <w:t xml:space="preserve"> des femmes dans les instances mise en place pour traiter la question de la compensation dans sa localité</w:t>
      </w:r>
      <w:r w:rsidR="00ED4689" w:rsidRPr="003F324E">
        <w:rPr>
          <w:rFonts w:ascii="Calibri" w:hAnsi="Calibri" w:cs="Calibri"/>
        </w:rPr>
        <w:t>.</w:t>
      </w:r>
    </w:p>
    <w:p w14:paraId="6C0754FE" w14:textId="33DF96CD" w:rsidR="00DD7602" w:rsidRDefault="000B562B" w:rsidP="00F94845">
      <w:pPr>
        <w:pStyle w:val="Titre2"/>
        <w:rPr>
          <w:rStyle w:val="lev"/>
          <w:rFonts w:ascii="Calibri" w:hAnsi="Calibri" w:cs="Calibri"/>
          <w:color w:val="000000" w:themeColor="text1"/>
        </w:rPr>
      </w:pPr>
      <w:bookmarkStart w:id="7" w:name="_Toc192575070"/>
      <w:r w:rsidRPr="003F324E">
        <w:rPr>
          <w:rStyle w:val="lev"/>
          <w:rFonts w:ascii="Calibri" w:hAnsi="Calibri" w:cs="Calibri"/>
          <w:color w:val="000000" w:themeColor="text1"/>
        </w:rPr>
        <w:lastRenderedPageBreak/>
        <w:t xml:space="preserve">4.4 </w:t>
      </w:r>
      <w:r w:rsidR="001A2F9E" w:rsidRPr="003F324E">
        <w:rPr>
          <w:rStyle w:val="lev"/>
          <w:rFonts w:ascii="Calibri" w:hAnsi="Calibri" w:cs="Calibri"/>
          <w:color w:val="000000" w:themeColor="text1"/>
        </w:rPr>
        <w:t xml:space="preserve">Faible </w:t>
      </w:r>
      <w:r w:rsidR="765D684E" w:rsidRPr="003F324E">
        <w:rPr>
          <w:rStyle w:val="lev"/>
          <w:rFonts w:ascii="Calibri" w:hAnsi="Calibri" w:cs="Calibri"/>
          <w:color w:val="000000" w:themeColor="text1"/>
        </w:rPr>
        <w:t>c</w:t>
      </w:r>
      <w:r w:rsidR="001A2F9E" w:rsidRPr="003F324E">
        <w:rPr>
          <w:rStyle w:val="lev"/>
          <w:rFonts w:ascii="Calibri" w:hAnsi="Calibri" w:cs="Calibri"/>
          <w:color w:val="000000" w:themeColor="text1"/>
        </w:rPr>
        <w:t xml:space="preserve">ompensation des terres agricoles des femmes par le projet </w:t>
      </w:r>
      <w:r w:rsidR="008F7672" w:rsidRPr="003F324E">
        <w:rPr>
          <w:rStyle w:val="lev"/>
          <w:rFonts w:ascii="Calibri" w:hAnsi="Calibri" w:cs="Calibri"/>
          <w:color w:val="000000" w:themeColor="text1"/>
        </w:rPr>
        <w:t>S</w:t>
      </w:r>
      <w:r w:rsidR="001A2F9E" w:rsidRPr="003F324E">
        <w:rPr>
          <w:rStyle w:val="lev"/>
          <w:rFonts w:ascii="Calibri" w:hAnsi="Calibri" w:cs="Calibri"/>
          <w:color w:val="000000" w:themeColor="text1"/>
        </w:rPr>
        <w:t>imandou</w:t>
      </w:r>
      <w:bookmarkEnd w:id="7"/>
    </w:p>
    <w:p w14:paraId="06970EDC" w14:textId="77777777" w:rsidR="00510710" w:rsidRDefault="00510710" w:rsidP="00510710">
      <w:pPr>
        <w:keepNext/>
      </w:pPr>
      <w:r>
        <w:rPr>
          <w:noProof/>
        </w:rPr>
        <w:drawing>
          <wp:inline distT="0" distB="0" distL="0" distR="0" wp14:anchorId="107F1950" wp14:editId="25902234">
            <wp:extent cx="5760720" cy="38404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3A90EE4" w14:textId="74409ABF" w:rsidR="00510710" w:rsidRPr="00510710" w:rsidRDefault="00510710" w:rsidP="00510710">
      <w:pPr>
        <w:pStyle w:val="Lgende"/>
      </w:pPr>
      <w:r>
        <w:t xml:space="preserve">Figure </w:t>
      </w:r>
      <w:fldSimple w:instr=" SEQ Figure \* ARABIC ">
        <w:r>
          <w:rPr>
            <w:noProof/>
          </w:rPr>
          <w:t>3</w:t>
        </w:r>
      </w:fldSimple>
      <w:r>
        <w:t xml:space="preserve"> Une rizière envahie de boue et d'eau polluée issue d'infrastructure à Nionsomoridou (Beyla)</w:t>
      </w:r>
    </w:p>
    <w:p w14:paraId="5125907B" w14:textId="0A72F20B" w:rsidR="003F324E" w:rsidRDefault="00DD7602" w:rsidP="008D1B74">
      <w:pPr>
        <w:pStyle w:val="NormalWeb"/>
        <w:jc w:val="both"/>
        <w:rPr>
          <w:rFonts w:ascii="Calibri" w:hAnsi="Calibri" w:cs="Calibri"/>
          <w:i/>
          <w:iCs/>
        </w:rPr>
      </w:pPr>
      <w:r w:rsidRPr="003F324E">
        <w:rPr>
          <w:rFonts w:ascii="Calibri" w:hAnsi="Calibri" w:cs="Calibri"/>
        </w:rPr>
        <w:t>En Guinée, les droits fonciers des femmes sont souvent restreints par des coutumes patriarcales qui ne reconnaissent pas leur statut de propriétaires légitimes. En conséquence, elles sont souvent exclues des processus de compensation lorsqu’elles perdent l’accès à leurs terres en raison de projets miniers, comme c’est le cas avec Simandou. L’impact est particulièrement grave pour celles qui dépendent de l’agriculture de subsistance pour nourrir leurs familles et générer des revenus. L</w:t>
      </w:r>
      <w:r w:rsidR="008E117D" w:rsidRPr="003F324E">
        <w:rPr>
          <w:rFonts w:ascii="Calibri" w:hAnsi="Calibri" w:cs="Calibri"/>
        </w:rPr>
        <w:t>’occupation</w:t>
      </w:r>
      <w:r w:rsidR="005A5483" w:rsidRPr="003F324E">
        <w:rPr>
          <w:rFonts w:ascii="Calibri" w:hAnsi="Calibri" w:cs="Calibri"/>
        </w:rPr>
        <w:t xml:space="preserve"> </w:t>
      </w:r>
      <w:r w:rsidRPr="003F324E">
        <w:rPr>
          <w:rFonts w:ascii="Calibri" w:hAnsi="Calibri" w:cs="Calibri"/>
        </w:rPr>
        <w:t>de terres agricoles par le</w:t>
      </w:r>
      <w:r w:rsidR="008E117D" w:rsidRPr="003F324E">
        <w:rPr>
          <w:rFonts w:ascii="Calibri" w:hAnsi="Calibri" w:cs="Calibri"/>
        </w:rPr>
        <w:t>s activités du</w:t>
      </w:r>
      <w:r w:rsidR="005F3394" w:rsidRPr="003F324E">
        <w:rPr>
          <w:rFonts w:ascii="Calibri" w:hAnsi="Calibri" w:cs="Calibri"/>
        </w:rPr>
        <w:t xml:space="preserve"> projet </w:t>
      </w:r>
      <w:r w:rsidR="008E117D" w:rsidRPr="003F324E">
        <w:rPr>
          <w:rFonts w:ascii="Calibri" w:hAnsi="Calibri" w:cs="Calibri"/>
        </w:rPr>
        <w:t>S</w:t>
      </w:r>
      <w:r w:rsidR="005029D5" w:rsidRPr="003F324E">
        <w:rPr>
          <w:rFonts w:ascii="Calibri" w:hAnsi="Calibri" w:cs="Calibri"/>
        </w:rPr>
        <w:t>imandou,</w:t>
      </w:r>
      <w:r w:rsidRPr="003F324E">
        <w:rPr>
          <w:rFonts w:ascii="Calibri" w:hAnsi="Calibri" w:cs="Calibri"/>
        </w:rPr>
        <w:t xml:space="preserve"> sans compensation adéquate, prive </w:t>
      </w:r>
      <w:r w:rsidR="00AE1FCB" w:rsidRPr="003F324E">
        <w:rPr>
          <w:rFonts w:ascii="Calibri" w:hAnsi="Calibri" w:cs="Calibri"/>
        </w:rPr>
        <w:t xml:space="preserve">les femmes </w:t>
      </w:r>
      <w:r w:rsidRPr="003F324E">
        <w:rPr>
          <w:rFonts w:ascii="Calibri" w:hAnsi="Calibri" w:cs="Calibri"/>
        </w:rPr>
        <w:t xml:space="preserve">de leur principal moyen de subsistance, </w:t>
      </w:r>
      <w:r w:rsidR="00AE1FCB" w:rsidRPr="003F324E">
        <w:rPr>
          <w:rFonts w:ascii="Calibri" w:hAnsi="Calibri" w:cs="Calibri"/>
        </w:rPr>
        <w:t xml:space="preserve">en </w:t>
      </w:r>
      <w:r w:rsidRPr="003F324E">
        <w:rPr>
          <w:rFonts w:ascii="Calibri" w:hAnsi="Calibri" w:cs="Calibri"/>
        </w:rPr>
        <w:t>les laissant dans une précarité accrue.</w:t>
      </w:r>
      <w:r w:rsidR="005F3394" w:rsidRPr="003F324E">
        <w:rPr>
          <w:rFonts w:ascii="Calibri" w:hAnsi="Calibri" w:cs="Calibri"/>
        </w:rPr>
        <w:t xml:space="preserve"> Pourtant, la </w:t>
      </w:r>
      <w:r w:rsidR="00AE1FCB" w:rsidRPr="003F324E">
        <w:rPr>
          <w:rFonts w:ascii="Calibri" w:hAnsi="Calibri" w:cs="Calibri"/>
        </w:rPr>
        <w:t>n</w:t>
      </w:r>
      <w:r w:rsidR="005F3394" w:rsidRPr="003F324E">
        <w:rPr>
          <w:rFonts w:ascii="Calibri" w:hAnsi="Calibri" w:cs="Calibri"/>
        </w:rPr>
        <w:t>orme</w:t>
      </w:r>
      <w:r w:rsidR="00F807D7" w:rsidRPr="003F324E">
        <w:rPr>
          <w:rFonts w:ascii="Calibri" w:hAnsi="Calibri" w:cs="Calibri"/>
        </w:rPr>
        <w:t xml:space="preserve"> </w:t>
      </w:r>
      <w:r w:rsidR="005F3394" w:rsidRPr="003F324E">
        <w:rPr>
          <w:rFonts w:ascii="Calibri" w:hAnsi="Calibri" w:cs="Calibri"/>
        </w:rPr>
        <w:t xml:space="preserve">de performance 5 </w:t>
      </w:r>
      <w:r w:rsidR="00F807D7" w:rsidRPr="003F324E">
        <w:rPr>
          <w:rFonts w:ascii="Calibri" w:hAnsi="Calibri" w:cs="Calibri"/>
        </w:rPr>
        <w:t xml:space="preserve">de la SFI </w:t>
      </w:r>
      <w:r w:rsidR="005F3394" w:rsidRPr="003F324E">
        <w:rPr>
          <w:rFonts w:ascii="Calibri" w:hAnsi="Calibri" w:cs="Calibri"/>
        </w:rPr>
        <w:t xml:space="preserve">prévoit </w:t>
      </w:r>
      <w:r w:rsidR="003F324E" w:rsidRPr="003F324E">
        <w:rPr>
          <w:rFonts w:ascii="Calibri" w:hAnsi="Calibri" w:cs="Calibri"/>
        </w:rPr>
        <w:t>qu’«</w:t>
      </w:r>
      <w:r w:rsidR="008E117D" w:rsidRPr="003F324E">
        <w:rPr>
          <w:rFonts w:ascii="Calibri" w:hAnsi="Calibri" w:cs="Calibri"/>
        </w:rPr>
        <w:t> </w:t>
      </w:r>
      <w:r w:rsidR="005F3394" w:rsidRPr="003F324E">
        <w:rPr>
          <w:rFonts w:ascii="Calibri" w:hAnsi="Calibri" w:cs="Calibri"/>
          <w:i/>
          <w:iCs/>
        </w:rPr>
        <w:t xml:space="preserve">En cas de déplacement économique, un </w:t>
      </w:r>
      <w:r w:rsidR="008E117D" w:rsidRPr="003F324E">
        <w:rPr>
          <w:rFonts w:ascii="Calibri" w:hAnsi="Calibri" w:cs="Calibri"/>
          <w:i/>
          <w:iCs/>
        </w:rPr>
        <w:t>p</w:t>
      </w:r>
      <w:r w:rsidR="005F3394" w:rsidRPr="003F324E">
        <w:rPr>
          <w:rFonts w:ascii="Calibri" w:hAnsi="Calibri" w:cs="Calibri"/>
          <w:i/>
          <w:iCs/>
        </w:rPr>
        <w:t xml:space="preserve">lan de restauration des moyens d’existence est mis en place pour assurer une indemnisation équitable et transparente aux personnes ou communautés affectées. Ce plan définit leurs droits et garantit qu'elles reçoivent </w:t>
      </w:r>
    </w:p>
    <w:p w14:paraId="7B94A301" w14:textId="7E788431" w:rsidR="003F324E" w:rsidRDefault="003F324E" w:rsidP="008D1B74">
      <w:pPr>
        <w:pStyle w:val="NormalWeb"/>
        <w:jc w:val="both"/>
        <w:rPr>
          <w:rFonts w:ascii="Calibri" w:hAnsi="Calibri" w:cs="Calibri"/>
          <w:i/>
          <w:iCs/>
        </w:rPr>
      </w:pPr>
      <w:r w:rsidRPr="003F324E">
        <w:rPr>
          <w:rFonts w:ascii="Calibri" w:hAnsi="Calibri" w:cs="Calibri"/>
          <w:noProof/>
          <w14:ligatures w14:val="standardContextual"/>
        </w:rPr>
        <mc:AlternateContent>
          <mc:Choice Requires="wps">
            <w:drawing>
              <wp:anchor distT="0" distB="0" distL="114300" distR="114300" simplePos="0" relativeHeight="251659264" behindDoc="0" locked="0" layoutInCell="1" allowOverlap="1" wp14:anchorId="06BC4891" wp14:editId="56A79EBB">
                <wp:simplePos x="0" y="0"/>
                <wp:positionH relativeFrom="margin">
                  <wp:posOffset>-279400</wp:posOffset>
                </wp:positionH>
                <wp:positionV relativeFrom="paragraph">
                  <wp:posOffset>-361950</wp:posOffset>
                </wp:positionV>
                <wp:extent cx="6810233" cy="1364776"/>
                <wp:effectExtent l="0" t="0" r="10160" b="26035"/>
                <wp:wrapNone/>
                <wp:docPr id="576038250" name="Rectangle 2"/>
                <wp:cNvGraphicFramePr/>
                <a:graphic xmlns:a="http://schemas.openxmlformats.org/drawingml/2006/main">
                  <a:graphicData uri="http://schemas.microsoft.com/office/word/2010/wordprocessingShape">
                    <wps:wsp>
                      <wps:cNvSpPr/>
                      <wps:spPr>
                        <a:xfrm>
                          <a:off x="0" y="0"/>
                          <a:ext cx="6810233" cy="136477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2FE3FE" w14:textId="4B37134A" w:rsidR="00ED4689" w:rsidRDefault="00ED4689" w:rsidP="00F94845">
                            <w:r w:rsidRPr="008D1B74">
                              <w:rPr>
                                <w:rFonts w:cstheme="minorHAnsi"/>
                              </w:rPr>
                              <w:t>Les témoignages de Djenaba Mansaré et Aïssata Savané illustrent l’impact négatif des projets miniers sur leurs vies. Djenaba a perdu ses terres agricoles au profit du projet ferroviaire, et malgré la compensation, la perte de ses revenus et la dégradation environnementale ont eu un impact majeur sur sa famille. De même, Aïssata a été mal informée de l’impact du projet sur ses terres, et bien que l’entreprise ait promis une indemnisation, elle n’a reçu qu’une fraction de la somme. Ces témoignages soulignent la gestion défaillante des projets miniers et l'exclusion des femmes dans le processus décisionnel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C4891" id="Rectangle 2" o:spid="_x0000_s1026" style="position:absolute;left:0;text-align:left;margin-left:-22pt;margin-top:-28.5pt;width:536.25pt;height:10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" fillcolor="white [3201]" strokecolor="#70ad47 [3209]" strokeweight="1pt">
                <v:textbox>
                  <w:txbxContent>
                    <w:p w14:paraId="592FE3FE" w14:textId="4B37134A" w:rsidR="00ED4689" w:rsidRDefault="00ED4689" w:rsidP="00F94845">
                      <w:r w:rsidRPr="008D1B74">
                        <w:rPr>
                          <w:rFonts w:cstheme="minorHAnsi"/>
                        </w:rPr>
                        <w:t>Les témoignages de Djenaba Mansaré et Aïssata Savané illustrent l’impact négatif des projets miniers sur leurs vies. Djenaba a perdu ses terres agricoles au profit du projet ferroviaire, et malgré la compensation, la perte de ses revenus et la dégradation environnementale ont eu un impact majeur sur sa famille. De même, Aïssata a été mal informée de l’impact du projet sur ses terres, et bien que l’entreprise ait promis une indemnisation, elle n’a reçu qu’une fraction de la somme. Ces témoignages soulignent la gestion défaillante des projets miniers et l'exclusion des femmes dans le processus décisionnel</w:t>
                      </w:r>
                    </w:p>
                  </w:txbxContent>
                </v:textbox>
                <w10:wrap anchorx="margin"/>
              </v:rect>
            </w:pict>
          </mc:Fallback>
        </mc:AlternateContent>
      </w:r>
    </w:p>
    <w:p w14:paraId="42C39EFE" w14:textId="77777777" w:rsidR="003F324E" w:rsidRDefault="003F324E" w:rsidP="008D1B74">
      <w:pPr>
        <w:pStyle w:val="NormalWeb"/>
        <w:jc w:val="both"/>
        <w:rPr>
          <w:rFonts w:ascii="Calibri" w:hAnsi="Calibri" w:cs="Calibri"/>
          <w:i/>
          <w:iCs/>
        </w:rPr>
      </w:pPr>
    </w:p>
    <w:p w14:paraId="45389251" w14:textId="77777777" w:rsidR="003F324E" w:rsidRDefault="003F324E" w:rsidP="008D1B74">
      <w:pPr>
        <w:pStyle w:val="NormalWeb"/>
        <w:jc w:val="both"/>
        <w:rPr>
          <w:rFonts w:ascii="Calibri" w:hAnsi="Calibri" w:cs="Calibri"/>
          <w:i/>
          <w:iCs/>
        </w:rPr>
      </w:pPr>
    </w:p>
    <w:p w14:paraId="7054796D" w14:textId="2FABE82C" w:rsidR="006A78E7" w:rsidRPr="003F324E" w:rsidRDefault="003F324E" w:rsidP="008D1B74">
      <w:pPr>
        <w:pStyle w:val="NormalWeb"/>
        <w:jc w:val="both"/>
        <w:rPr>
          <w:rFonts w:ascii="Calibri" w:hAnsi="Calibri" w:cs="Calibri"/>
        </w:rPr>
      </w:pPr>
      <w:r w:rsidRPr="003F324E">
        <w:rPr>
          <w:rFonts w:ascii="Calibri" w:hAnsi="Calibri" w:cs="Calibri"/>
          <w:i/>
          <w:iCs/>
        </w:rPr>
        <w:t>L’aide</w:t>
      </w:r>
      <w:r w:rsidR="005F3394" w:rsidRPr="003F324E">
        <w:rPr>
          <w:rFonts w:ascii="Calibri" w:hAnsi="Calibri" w:cs="Calibri"/>
          <w:i/>
          <w:iCs/>
        </w:rPr>
        <w:t xml:space="preserve"> nécessaire pour restaurer leurs moyens d’existence. L’atténuation du déplacement est considérée comme achevée lorsque ces personnes ont reçu leur indemnisation et ont eu des opportunités adéquates pour se rétablir.</w:t>
      </w:r>
      <w:r w:rsidR="008E117D" w:rsidRPr="003F324E">
        <w:rPr>
          <w:rFonts w:ascii="Calibri" w:hAnsi="Calibri" w:cs="Calibri"/>
        </w:rPr>
        <w:t> »</w:t>
      </w:r>
      <w:r w:rsidR="005F3394" w:rsidRPr="003F324E">
        <w:rPr>
          <w:rStyle w:val="Appelnotedebasdep"/>
          <w:rFonts w:ascii="Calibri" w:hAnsi="Calibri" w:cs="Calibri"/>
        </w:rPr>
        <w:footnoteReference w:id="7"/>
      </w:r>
    </w:p>
    <w:p w14:paraId="0DC738BC" w14:textId="70C2F48C" w:rsidR="00DD7602" w:rsidRPr="003F324E" w:rsidRDefault="006A78E7" w:rsidP="00F94845">
      <w:pPr>
        <w:pStyle w:val="Titre2"/>
        <w:rPr>
          <w:rStyle w:val="lev"/>
          <w:rFonts w:ascii="Calibri" w:eastAsiaTheme="minorHAnsi" w:hAnsi="Calibri" w:cs="Calibri"/>
          <w:color w:val="000000" w:themeColor="text1"/>
        </w:rPr>
      </w:pPr>
      <w:r w:rsidRPr="003F324E">
        <w:rPr>
          <w:rFonts w:ascii="Calibri" w:hAnsi="Calibri" w:cs="Calibri"/>
          <w:color w:val="000000" w:themeColor="text1"/>
        </w:rPr>
        <w:lastRenderedPageBreak/>
        <w:t>.</w:t>
      </w:r>
      <w:bookmarkStart w:id="8" w:name="_Toc192575071"/>
      <w:r w:rsidR="0039222B" w:rsidRPr="003F324E">
        <w:rPr>
          <w:rStyle w:val="lev"/>
          <w:rFonts w:ascii="Calibri" w:hAnsi="Calibri" w:cs="Calibri"/>
          <w:color w:val="000000" w:themeColor="text1"/>
        </w:rPr>
        <w:t>4.</w:t>
      </w:r>
      <w:r w:rsidR="008B3574" w:rsidRPr="003F324E">
        <w:rPr>
          <w:rStyle w:val="lev"/>
          <w:rFonts w:ascii="Calibri" w:hAnsi="Calibri" w:cs="Calibri"/>
          <w:color w:val="000000" w:themeColor="text1"/>
        </w:rPr>
        <w:t xml:space="preserve">5. </w:t>
      </w:r>
      <w:r w:rsidR="00BC662F" w:rsidRPr="003F324E">
        <w:rPr>
          <w:rStyle w:val="lev"/>
          <w:rFonts w:ascii="Calibri" w:hAnsi="Calibri" w:cs="Calibri"/>
          <w:color w:val="000000" w:themeColor="text1"/>
        </w:rPr>
        <w:t>L</w:t>
      </w:r>
      <w:r w:rsidR="0039222B" w:rsidRPr="003F324E">
        <w:rPr>
          <w:rStyle w:val="lev"/>
          <w:rFonts w:ascii="Calibri" w:hAnsi="Calibri" w:cs="Calibri"/>
          <w:color w:val="000000" w:themeColor="text1"/>
        </w:rPr>
        <w:t>e manque d’</w:t>
      </w:r>
      <w:r w:rsidR="00BC662F" w:rsidRPr="003F324E">
        <w:rPr>
          <w:rStyle w:val="lev"/>
          <w:rFonts w:ascii="Calibri" w:hAnsi="Calibri" w:cs="Calibri"/>
          <w:color w:val="000000" w:themeColor="text1"/>
        </w:rPr>
        <w:t xml:space="preserve">accès </w:t>
      </w:r>
      <w:r w:rsidR="002017FC" w:rsidRPr="003F324E">
        <w:rPr>
          <w:rStyle w:val="lev"/>
          <w:rFonts w:ascii="Calibri" w:hAnsi="Calibri" w:cs="Calibri"/>
          <w:color w:val="000000" w:themeColor="text1"/>
        </w:rPr>
        <w:t>d</w:t>
      </w:r>
      <w:r w:rsidR="00BC662F" w:rsidRPr="003F324E">
        <w:rPr>
          <w:rStyle w:val="lev"/>
          <w:rFonts w:ascii="Calibri" w:hAnsi="Calibri" w:cs="Calibri"/>
          <w:color w:val="000000" w:themeColor="text1"/>
        </w:rPr>
        <w:t>es femmes</w:t>
      </w:r>
      <w:r w:rsidR="002017FC" w:rsidRPr="003F324E">
        <w:rPr>
          <w:rStyle w:val="lev"/>
          <w:rFonts w:ascii="Calibri" w:hAnsi="Calibri" w:cs="Calibri"/>
          <w:color w:val="000000" w:themeColor="text1"/>
        </w:rPr>
        <w:t xml:space="preserve"> </w:t>
      </w:r>
      <w:r w:rsidR="00BC662F" w:rsidRPr="003F324E">
        <w:rPr>
          <w:rStyle w:val="lev"/>
          <w:rFonts w:ascii="Calibri" w:hAnsi="Calibri" w:cs="Calibri"/>
          <w:color w:val="000000" w:themeColor="text1"/>
        </w:rPr>
        <w:t>aux m</w:t>
      </w:r>
      <w:r w:rsidR="002017FC" w:rsidRPr="003F324E">
        <w:rPr>
          <w:rStyle w:val="lev"/>
          <w:rFonts w:ascii="Calibri" w:hAnsi="Calibri" w:cs="Calibri"/>
          <w:color w:val="000000" w:themeColor="text1"/>
        </w:rPr>
        <w:t>écanisme</w:t>
      </w:r>
      <w:r w:rsidR="00BC662F" w:rsidRPr="003F324E">
        <w:rPr>
          <w:rStyle w:val="lev"/>
          <w:rFonts w:ascii="Calibri" w:hAnsi="Calibri" w:cs="Calibri"/>
          <w:color w:val="000000" w:themeColor="text1"/>
        </w:rPr>
        <w:t>s</w:t>
      </w:r>
      <w:r w:rsidR="002017FC" w:rsidRPr="003F324E">
        <w:rPr>
          <w:rStyle w:val="lev"/>
          <w:rFonts w:ascii="Calibri" w:hAnsi="Calibri" w:cs="Calibri"/>
          <w:color w:val="000000" w:themeColor="text1"/>
        </w:rPr>
        <w:t xml:space="preserve"> de gestion des plaintes et réclamation</w:t>
      </w:r>
      <w:r w:rsidR="73714A69" w:rsidRPr="003F324E">
        <w:rPr>
          <w:rStyle w:val="lev"/>
          <w:rFonts w:ascii="Calibri" w:hAnsi="Calibri" w:cs="Calibri"/>
          <w:color w:val="000000" w:themeColor="text1"/>
        </w:rPr>
        <w:t>s</w:t>
      </w:r>
      <w:r w:rsidR="002017FC" w:rsidRPr="003F324E">
        <w:rPr>
          <w:rStyle w:val="lev"/>
          <w:rFonts w:ascii="Calibri" w:hAnsi="Calibri" w:cs="Calibri"/>
          <w:color w:val="000000" w:themeColor="text1"/>
        </w:rPr>
        <w:t xml:space="preserve"> </w:t>
      </w:r>
      <w:r w:rsidR="00BC662F" w:rsidRPr="003F324E">
        <w:rPr>
          <w:rStyle w:val="lev"/>
          <w:rFonts w:ascii="Calibri" w:hAnsi="Calibri" w:cs="Calibri"/>
          <w:color w:val="000000" w:themeColor="text1"/>
        </w:rPr>
        <w:t xml:space="preserve">du projet </w:t>
      </w:r>
      <w:bookmarkEnd w:id="8"/>
      <w:r w:rsidR="008E117D" w:rsidRPr="003F324E">
        <w:rPr>
          <w:rStyle w:val="lev"/>
          <w:rFonts w:ascii="Calibri" w:hAnsi="Calibri" w:cs="Calibri"/>
          <w:color w:val="000000" w:themeColor="text1"/>
        </w:rPr>
        <w:t>Simandou</w:t>
      </w:r>
    </w:p>
    <w:p w14:paraId="4DB56C07" w14:textId="77777777" w:rsidR="00893D20" w:rsidRPr="003F324E" w:rsidRDefault="00DD7602" w:rsidP="008D1B74">
      <w:pPr>
        <w:pStyle w:val="NormalWeb"/>
        <w:jc w:val="both"/>
        <w:rPr>
          <w:rFonts w:ascii="Calibri" w:hAnsi="Calibri" w:cs="Calibri"/>
        </w:rPr>
      </w:pPr>
      <w:r w:rsidRPr="003F324E">
        <w:rPr>
          <w:rFonts w:ascii="Calibri" w:hAnsi="Calibri" w:cs="Calibri"/>
          <w:color w:val="000000" w:themeColor="text1"/>
        </w:rPr>
        <w:t>Pour atténuer les impacts négatifs d</w:t>
      </w:r>
      <w:r w:rsidR="00BC662F" w:rsidRPr="003F324E">
        <w:rPr>
          <w:rFonts w:ascii="Calibri" w:hAnsi="Calibri" w:cs="Calibri"/>
          <w:color w:val="000000" w:themeColor="text1"/>
        </w:rPr>
        <w:t xml:space="preserve">u </w:t>
      </w:r>
      <w:r w:rsidR="00BC662F" w:rsidRPr="003F324E">
        <w:rPr>
          <w:rFonts w:ascii="Calibri" w:hAnsi="Calibri" w:cs="Calibri"/>
        </w:rPr>
        <w:t>projet</w:t>
      </w:r>
      <w:r w:rsidRPr="003F324E">
        <w:rPr>
          <w:rFonts w:ascii="Calibri" w:hAnsi="Calibri" w:cs="Calibri"/>
        </w:rPr>
        <w:t xml:space="preserve">, des mécanismes de gestion des griefs ont été mis en place. Ces mécanismes permettent aux communautés </w:t>
      </w:r>
      <w:r w:rsidR="00BC662F" w:rsidRPr="003F324E">
        <w:rPr>
          <w:rFonts w:ascii="Calibri" w:hAnsi="Calibri" w:cs="Calibri"/>
        </w:rPr>
        <w:t>impactées</w:t>
      </w:r>
      <w:r w:rsidRPr="003F324E">
        <w:rPr>
          <w:rFonts w:ascii="Calibri" w:hAnsi="Calibri" w:cs="Calibri"/>
        </w:rPr>
        <w:t xml:space="preserve"> par les projets miniers, y compris les femmes, de porter plainte et de chercher réparation en cas de dommages causés par les activités minières. </w:t>
      </w:r>
    </w:p>
    <w:p w14:paraId="29D8FDF8" w14:textId="3A0809DF" w:rsidR="6A2E9E22" w:rsidRPr="003F324E" w:rsidRDefault="005029D5" w:rsidP="6A2E9E22">
      <w:pPr>
        <w:pStyle w:val="NormalWeb"/>
        <w:jc w:val="both"/>
        <w:rPr>
          <w:rFonts w:ascii="Calibri" w:hAnsi="Calibri" w:cs="Calibri"/>
        </w:rPr>
      </w:pPr>
      <w:r w:rsidRPr="003F324E">
        <w:rPr>
          <w:rFonts w:ascii="Calibri" w:hAnsi="Calibri" w:cs="Calibri"/>
        </w:rPr>
        <w:t>Cependant, selon</w:t>
      </w:r>
      <w:r w:rsidR="00BC45E5" w:rsidRPr="003F324E">
        <w:rPr>
          <w:rFonts w:ascii="Calibri" w:hAnsi="Calibri" w:cs="Calibri"/>
        </w:rPr>
        <w:t xml:space="preserve"> le constat des </w:t>
      </w:r>
      <w:r w:rsidR="00D54646" w:rsidRPr="003F324E">
        <w:rPr>
          <w:rFonts w:ascii="Calibri" w:hAnsi="Calibri" w:cs="Calibri"/>
        </w:rPr>
        <w:t>superviseur</w:t>
      </w:r>
      <w:r w:rsidR="00BC45E5" w:rsidRPr="003F324E">
        <w:rPr>
          <w:rFonts w:ascii="Calibri" w:hAnsi="Calibri" w:cs="Calibri"/>
        </w:rPr>
        <w:t>s</w:t>
      </w:r>
      <w:r w:rsidR="00D54646" w:rsidRPr="003F324E">
        <w:rPr>
          <w:rFonts w:ascii="Calibri" w:hAnsi="Calibri" w:cs="Calibri"/>
        </w:rPr>
        <w:t xml:space="preserve"> </w:t>
      </w:r>
      <w:r w:rsidR="00BC45E5" w:rsidRPr="003F324E">
        <w:rPr>
          <w:rFonts w:ascii="Calibri" w:hAnsi="Calibri" w:cs="Calibri"/>
        </w:rPr>
        <w:t>d’Action Mines</w:t>
      </w:r>
      <w:r w:rsidR="00D54646" w:rsidRPr="003F324E">
        <w:rPr>
          <w:rFonts w:ascii="Calibri" w:hAnsi="Calibri" w:cs="Calibri"/>
        </w:rPr>
        <w:t xml:space="preserve"> sur le terrain, les hommes </w:t>
      </w:r>
      <w:r w:rsidR="00DD7602" w:rsidRPr="003F324E">
        <w:rPr>
          <w:rFonts w:ascii="Calibri" w:hAnsi="Calibri" w:cs="Calibri"/>
        </w:rPr>
        <w:t xml:space="preserve">sont beaucoup plus nombreux que les femmes à exploiter ces mécanismes. Cela est dû à une combinaison de facteurs, notamment le faible accès des femmes à l’information, leur </w:t>
      </w:r>
      <w:r w:rsidR="00BC45E5" w:rsidRPr="003F324E">
        <w:rPr>
          <w:rFonts w:ascii="Calibri" w:hAnsi="Calibri" w:cs="Calibri"/>
        </w:rPr>
        <w:t>faible participation aux consultations et aux sensibilisations. Les</w:t>
      </w:r>
      <w:r w:rsidR="00DD7602" w:rsidRPr="003F324E">
        <w:rPr>
          <w:rFonts w:ascii="Calibri" w:hAnsi="Calibri" w:cs="Calibri"/>
        </w:rPr>
        <w:t xml:space="preserve"> traditions patriarcales qui limitent leur participation</w:t>
      </w:r>
      <w:r w:rsidR="00BC45E5" w:rsidRPr="003F324E">
        <w:rPr>
          <w:rFonts w:ascii="Calibri" w:hAnsi="Calibri" w:cs="Calibri"/>
        </w:rPr>
        <w:t xml:space="preserve"> jouent également un rôle non négligeable.</w:t>
      </w:r>
      <w:r w:rsidR="00DD7602" w:rsidRPr="003F324E">
        <w:rPr>
          <w:rFonts w:ascii="Calibri" w:hAnsi="Calibri" w:cs="Calibri"/>
        </w:rPr>
        <w:t xml:space="preserve"> Bien que les femmes soient souvent tout aussi touchées, voire plus, que les hommes par les impacts d</w:t>
      </w:r>
      <w:r w:rsidRPr="003F324E">
        <w:rPr>
          <w:rFonts w:ascii="Calibri" w:hAnsi="Calibri" w:cs="Calibri"/>
        </w:rPr>
        <w:t>u projet</w:t>
      </w:r>
      <w:r w:rsidR="00DD7602" w:rsidRPr="003F324E">
        <w:rPr>
          <w:rFonts w:ascii="Calibri" w:hAnsi="Calibri" w:cs="Calibri"/>
        </w:rPr>
        <w:t>, elles sont moins enclines à porter plainte en raison de</w:t>
      </w:r>
      <w:r w:rsidR="00BC45E5" w:rsidRPr="003F324E">
        <w:rPr>
          <w:rFonts w:ascii="Calibri" w:hAnsi="Calibri" w:cs="Calibri"/>
        </w:rPr>
        <w:t>s</w:t>
      </w:r>
      <w:r w:rsidR="00DD7602" w:rsidRPr="003F324E">
        <w:rPr>
          <w:rFonts w:ascii="Calibri" w:hAnsi="Calibri" w:cs="Calibri"/>
        </w:rPr>
        <w:t xml:space="preserve"> barrières sociales et culturelles.</w:t>
      </w:r>
    </w:p>
    <w:p w14:paraId="7269603D" w14:textId="616F91B7" w:rsidR="6A2E9E22" w:rsidRPr="003F324E" w:rsidRDefault="008B3574" w:rsidP="003F324E">
      <w:pPr>
        <w:pStyle w:val="Titre1"/>
        <w:rPr>
          <w:rFonts w:ascii="Calibri" w:hAnsi="Calibri" w:cs="Calibri"/>
          <w:color w:val="000000" w:themeColor="text1"/>
        </w:rPr>
      </w:pPr>
      <w:bookmarkStart w:id="9" w:name="_Toc192575072"/>
      <w:r w:rsidRPr="003F324E">
        <w:rPr>
          <w:rStyle w:val="lev"/>
          <w:rFonts w:ascii="Calibri" w:hAnsi="Calibri" w:cs="Calibri"/>
          <w:color w:val="000000" w:themeColor="text1"/>
        </w:rPr>
        <w:t xml:space="preserve">6. </w:t>
      </w:r>
      <w:r w:rsidR="00DD7602" w:rsidRPr="003F324E">
        <w:rPr>
          <w:rStyle w:val="lev"/>
          <w:rFonts w:ascii="Calibri" w:hAnsi="Calibri" w:cs="Calibri"/>
          <w:color w:val="000000" w:themeColor="text1"/>
        </w:rPr>
        <w:t>Recommandations pour une meilleure</w:t>
      </w:r>
      <w:r w:rsidR="00BC45E5" w:rsidRPr="003F324E">
        <w:rPr>
          <w:rStyle w:val="lev"/>
          <w:rFonts w:ascii="Calibri" w:hAnsi="Calibri" w:cs="Calibri"/>
          <w:color w:val="000000" w:themeColor="text1"/>
        </w:rPr>
        <w:t xml:space="preserve"> prise en compte des droits </w:t>
      </w:r>
      <w:r w:rsidR="00DD7602" w:rsidRPr="003F324E">
        <w:rPr>
          <w:rStyle w:val="lev"/>
          <w:rFonts w:ascii="Calibri" w:hAnsi="Calibri" w:cs="Calibri"/>
          <w:color w:val="000000" w:themeColor="text1"/>
        </w:rPr>
        <w:t>des femmes</w:t>
      </w:r>
      <w:bookmarkEnd w:id="9"/>
      <w:r w:rsidR="00BC662F" w:rsidRPr="003F324E">
        <w:rPr>
          <w:rStyle w:val="lev"/>
          <w:rFonts w:ascii="Calibri" w:hAnsi="Calibri" w:cs="Calibri"/>
          <w:color w:val="000000" w:themeColor="text1"/>
        </w:rPr>
        <w:t xml:space="preserve"> </w:t>
      </w:r>
    </w:p>
    <w:p w14:paraId="31C4D7F9" w14:textId="3A1E50AF" w:rsidR="00DD7602" w:rsidRPr="003F324E" w:rsidRDefault="00DD7602" w:rsidP="008D1B74">
      <w:pPr>
        <w:pStyle w:val="NormalWeb"/>
        <w:jc w:val="both"/>
        <w:rPr>
          <w:rFonts w:ascii="Calibri" w:hAnsi="Calibri" w:cs="Calibri"/>
        </w:rPr>
      </w:pPr>
      <w:r w:rsidRPr="003F324E">
        <w:rPr>
          <w:rFonts w:ascii="Calibri" w:hAnsi="Calibri" w:cs="Calibri"/>
        </w:rPr>
        <w:t xml:space="preserve">Afin de garantir que le projet </w:t>
      </w:r>
      <w:r w:rsidR="00173B58" w:rsidRPr="003F324E">
        <w:rPr>
          <w:rFonts w:ascii="Calibri" w:hAnsi="Calibri" w:cs="Calibri"/>
        </w:rPr>
        <w:t>Simandou</w:t>
      </w:r>
      <w:r w:rsidRPr="003F324E">
        <w:rPr>
          <w:rFonts w:ascii="Calibri" w:hAnsi="Calibri" w:cs="Calibri"/>
        </w:rPr>
        <w:t>, soi</w:t>
      </w:r>
      <w:r w:rsidR="006A78E7" w:rsidRPr="003F324E">
        <w:rPr>
          <w:rFonts w:ascii="Calibri" w:hAnsi="Calibri" w:cs="Calibri"/>
        </w:rPr>
        <w:t>t</w:t>
      </w:r>
      <w:r w:rsidRPr="003F324E">
        <w:rPr>
          <w:rFonts w:ascii="Calibri" w:hAnsi="Calibri" w:cs="Calibri"/>
        </w:rPr>
        <w:t xml:space="preserve"> plus inclusif et respectueux des droits des femmes, plusieurs mesures doivent être mises en place :</w:t>
      </w:r>
    </w:p>
    <w:p w14:paraId="679E4272" w14:textId="77777777" w:rsidR="00DD7602" w:rsidRPr="003F324E" w:rsidRDefault="00DD7602" w:rsidP="008D1B74">
      <w:pPr>
        <w:pStyle w:val="NormalWeb"/>
        <w:jc w:val="both"/>
        <w:rPr>
          <w:rFonts w:ascii="Calibri" w:hAnsi="Calibri" w:cs="Calibri"/>
        </w:rPr>
      </w:pPr>
      <w:r w:rsidRPr="003F324E">
        <w:rPr>
          <w:rStyle w:val="lev"/>
          <w:rFonts w:ascii="Calibri" w:hAnsi="Calibri" w:cs="Calibri"/>
        </w:rPr>
        <w:t>Canaux inclusifs</w:t>
      </w:r>
      <w:r w:rsidRPr="003F324E">
        <w:rPr>
          <w:rFonts w:ascii="Calibri" w:hAnsi="Calibri" w:cs="Calibri"/>
        </w:rPr>
        <w:t xml:space="preserve"> : Utiliser des moyens de communication adaptés aux femmes, comme des campagnes de sensibilisation dans les langues locales, des radios communautaires, et des réunions spécifiquement organisées pour elles, afin de mieux les informer sur les projets et leurs implications.</w:t>
      </w:r>
    </w:p>
    <w:p w14:paraId="3D680B32" w14:textId="77777777" w:rsidR="00DD7602" w:rsidRPr="003F324E" w:rsidRDefault="00DD7602" w:rsidP="008D1B74">
      <w:pPr>
        <w:pStyle w:val="NormalWeb"/>
        <w:jc w:val="both"/>
        <w:rPr>
          <w:rFonts w:ascii="Calibri" w:hAnsi="Calibri" w:cs="Calibri"/>
        </w:rPr>
      </w:pPr>
      <w:r w:rsidRPr="003F324E">
        <w:rPr>
          <w:rStyle w:val="lev"/>
          <w:rFonts w:ascii="Calibri" w:hAnsi="Calibri" w:cs="Calibri"/>
        </w:rPr>
        <w:t>Consultations spécifiques</w:t>
      </w:r>
      <w:r w:rsidRPr="003F324E">
        <w:rPr>
          <w:rFonts w:ascii="Calibri" w:hAnsi="Calibri" w:cs="Calibri"/>
        </w:rPr>
        <w:t xml:space="preserve"> : Organiser des consultations séparées pour les femmes, où elles pourront s’exprimer librement, sans la pression des normes sociales. Les organisateurs de ces consultations doivent être sensibilisés aux enjeux de genre afin de garantir que les préoccupations des femmes soient prises en compte.</w:t>
      </w:r>
    </w:p>
    <w:p w14:paraId="5B8259B3" w14:textId="77777777" w:rsidR="00DD7602" w:rsidRPr="003F324E" w:rsidRDefault="00DD7602" w:rsidP="008D1B74">
      <w:pPr>
        <w:pStyle w:val="NormalWeb"/>
        <w:jc w:val="both"/>
        <w:rPr>
          <w:rFonts w:ascii="Calibri" w:hAnsi="Calibri" w:cs="Calibri"/>
        </w:rPr>
      </w:pPr>
      <w:r w:rsidRPr="003F324E">
        <w:rPr>
          <w:rStyle w:val="lev"/>
          <w:rFonts w:ascii="Calibri" w:hAnsi="Calibri" w:cs="Calibri"/>
        </w:rPr>
        <w:t>Représentation équilibrée</w:t>
      </w:r>
      <w:r w:rsidRPr="003F324E">
        <w:rPr>
          <w:rFonts w:ascii="Calibri" w:hAnsi="Calibri" w:cs="Calibri"/>
        </w:rPr>
        <w:t xml:space="preserve"> : Assurer une représentation équitable des femmes dans les instances décisionnelles liées au projet, telles que les comités de suivi et de gestion des compensations, en imposant des quotas de participation féminine.</w:t>
      </w:r>
    </w:p>
    <w:p w14:paraId="32B80E61" w14:textId="77777777" w:rsidR="00DD7602" w:rsidRPr="003F324E" w:rsidRDefault="00DD7602" w:rsidP="008D1B74">
      <w:pPr>
        <w:pStyle w:val="NormalWeb"/>
        <w:jc w:val="both"/>
        <w:rPr>
          <w:rFonts w:ascii="Calibri" w:hAnsi="Calibri" w:cs="Calibri"/>
        </w:rPr>
      </w:pPr>
      <w:r w:rsidRPr="003F324E">
        <w:rPr>
          <w:rStyle w:val="lev"/>
          <w:rFonts w:ascii="Calibri" w:hAnsi="Calibri" w:cs="Calibri"/>
        </w:rPr>
        <w:t>Renforcement des capacités des femmes</w:t>
      </w:r>
      <w:r w:rsidRPr="003F324E">
        <w:rPr>
          <w:rFonts w:ascii="Calibri" w:hAnsi="Calibri" w:cs="Calibri"/>
        </w:rPr>
        <w:t xml:space="preserve"> : Offrir des formations et des ressources aux femmes pour leur permettre de jouer un rôle actif dans les discussions et la prise de décisions concernant les projets miniers.</w:t>
      </w:r>
    </w:p>
    <w:p w14:paraId="5A0C7DB9" w14:textId="77777777" w:rsidR="00DD7602" w:rsidRPr="003F324E" w:rsidRDefault="00DD7602" w:rsidP="008D1B74">
      <w:pPr>
        <w:pStyle w:val="NormalWeb"/>
        <w:jc w:val="both"/>
        <w:rPr>
          <w:rFonts w:ascii="Calibri" w:hAnsi="Calibri" w:cs="Calibri"/>
        </w:rPr>
      </w:pPr>
      <w:r w:rsidRPr="003F324E">
        <w:rPr>
          <w:rFonts w:ascii="Calibri" w:hAnsi="Calibri" w:cs="Calibri"/>
        </w:rPr>
        <w:t>Les projets miniers, comme celui de Simandou, peuvent avoir des effets dévastateurs sur les femmes des communautés locales. Toutefois, ces impacts peuvent être atténués par des politiques inclusives qui assurent une participation active des femmes dans toutes les étapes du projet. Une approche équitable et inclusive des projets miniers favorisera non seulement un meilleur développement économique, mais contribuera également à la promotion des droits des femmes et à la construction d’une société plus juste et égalitaire.</w:t>
      </w:r>
    </w:p>
    <w:sectPr w:rsidR="00DD7602" w:rsidRPr="003F32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3374F" w14:textId="77777777" w:rsidR="002B5F4F" w:rsidRDefault="002B5F4F" w:rsidP="001D1704">
      <w:r>
        <w:separator/>
      </w:r>
    </w:p>
  </w:endnote>
  <w:endnote w:type="continuationSeparator" w:id="0">
    <w:p w14:paraId="5E0D12D9" w14:textId="77777777" w:rsidR="002B5F4F" w:rsidRDefault="002B5F4F" w:rsidP="001D1704">
      <w:r>
        <w:continuationSeparator/>
      </w:r>
    </w:p>
  </w:endnote>
  <w:endnote w:type="continuationNotice" w:id="1">
    <w:p w14:paraId="26D1B5BD" w14:textId="77777777" w:rsidR="002B5F4F" w:rsidRDefault="002B5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DCA91" w14:textId="77777777" w:rsidR="002B5F4F" w:rsidRDefault="002B5F4F" w:rsidP="001D1704">
      <w:r>
        <w:separator/>
      </w:r>
    </w:p>
  </w:footnote>
  <w:footnote w:type="continuationSeparator" w:id="0">
    <w:p w14:paraId="75E7139D" w14:textId="77777777" w:rsidR="002B5F4F" w:rsidRDefault="002B5F4F" w:rsidP="001D1704">
      <w:r>
        <w:continuationSeparator/>
      </w:r>
    </w:p>
  </w:footnote>
  <w:footnote w:type="continuationNotice" w:id="1">
    <w:p w14:paraId="39E2E277" w14:textId="77777777" w:rsidR="002B5F4F" w:rsidRDefault="002B5F4F"/>
  </w:footnote>
  <w:footnote w:id="2">
    <w:p w14:paraId="7496807D" w14:textId="77777777" w:rsidR="007E6F66" w:rsidRDefault="007E6F66" w:rsidP="00C40553">
      <w:pPr>
        <w:pStyle w:val="Notedebasdepage"/>
      </w:pPr>
      <w:r>
        <w:rPr>
          <w:rStyle w:val="Appelnotedebasdep"/>
        </w:rPr>
        <w:footnoteRef/>
      </w:r>
      <w:r>
        <w:t xml:space="preserve"> Comité de pilotage, rapport ITIE Guinée 2023, juin</w:t>
      </w:r>
      <w:r w:rsidR="00EC4714">
        <w:t>. Page 30, 32, 33</w:t>
      </w:r>
    </w:p>
  </w:footnote>
  <w:footnote w:id="3">
    <w:p w14:paraId="4CCC2FA0" w14:textId="17C682C3" w:rsidR="00F9463A" w:rsidRPr="00D1722D" w:rsidRDefault="00F9463A" w:rsidP="00D1722D">
      <w:pPr>
        <w:pStyle w:val="NormalWeb"/>
        <w:spacing w:before="0" w:beforeAutospacing="0" w:after="0" w:afterAutospacing="0"/>
        <w:jc w:val="both"/>
        <w:rPr>
          <w:b/>
          <w:bCs/>
          <w:sz w:val="20"/>
          <w:szCs w:val="20"/>
        </w:rPr>
      </w:pPr>
      <w:r w:rsidRPr="00D1722D">
        <w:rPr>
          <w:rStyle w:val="Appelnotedebasdep"/>
          <w:sz w:val="20"/>
          <w:szCs w:val="20"/>
        </w:rPr>
        <w:footnoteRef/>
      </w:r>
      <w:r w:rsidR="00C2338F" w:rsidRPr="00D1722D">
        <w:rPr>
          <w:sz w:val="20"/>
          <w:szCs w:val="20"/>
        </w:rPr>
        <w:t xml:space="preserve"> Boubacar Cab, Simandou – Rio Tinto annonce aux actionnaires et investisseurs la date de la première production du minerai de fer</w:t>
      </w:r>
      <w:r w:rsidR="0016414D" w:rsidRPr="00D1722D">
        <w:rPr>
          <w:sz w:val="20"/>
          <w:szCs w:val="20"/>
        </w:rPr>
        <w:t>,</w:t>
      </w:r>
      <w:r w:rsidRPr="00D1722D">
        <w:rPr>
          <w:sz w:val="20"/>
          <w:szCs w:val="20"/>
        </w:rPr>
        <w:t xml:space="preserve"> </w:t>
      </w:r>
      <w:hyperlink r:id="rId1" w:tgtFrame="_blank" w:history="1">
        <w:r w:rsidRPr="00D1722D">
          <w:rPr>
            <w:rStyle w:val="Lienhypertexte"/>
            <w:b/>
            <w:bCs/>
            <w:sz w:val="20"/>
            <w:szCs w:val="20"/>
          </w:rPr>
          <w:t>guineenews.org</w:t>
        </w:r>
      </w:hyperlink>
    </w:p>
    <w:p w14:paraId="504BDC79" w14:textId="77777777" w:rsidR="00F9463A" w:rsidRDefault="00F9463A">
      <w:pPr>
        <w:pStyle w:val="Notedebasdepage"/>
      </w:pPr>
    </w:p>
  </w:footnote>
  <w:footnote w:id="4">
    <w:p w14:paraId="1D707DD5" w14:textId="3F143BAC" w:rsidR="00CB313B" w:rsidRPr="00CB313B" w:rsidRDefault="00CB313B">
      <w:pPr>
        <w:pStyle w:val="Notedebasdepage"/>
      </w:pPr>
      <w:r>
        <w:rPr>
          <w:rStyle w:val="Appelnotedebasdep"/>
        </w:rPr>
        <w:footnoteRef/>
      </w:r>
      <w:r>
        <w:t xml:space="preserve"> </w:t>
      </w:r>
      <w:hyperlink r:id="rId2" w:history="1">
        <w:r w:rsidR="00B875A7" w:rsidRPr="00C6797F">
          <w:rPr>
            <w:rStyle w:val="Lienhypertexte"/>
          </w:rPr>
          <w:t>https://www.codecguinee.org/2023/03/23/guinee-acces-des-femmes-au-foncier-agricole/</w:t>
        </w:r>
      </w:hyperlink>
      <w:r w:rsidR="00B875A7">
        <w:rPr>
          <w:color w:val="000000"/>
        </w:rPr>
        <w:t xml:space="preserve"> </w:t>
      </w:r>
    </w:p>
  </w:footnote>
  <w:footnote w:id="5">
    <w:p w14:paraId="17524385" w14:textId="71264582" w:rsidR="00A90971" w:rsidRPr="00CB313B" w:rsidRDefault="00A90971" w:rsidP="00A90971">
      <w:pPr>
        <w:pStyle w:val="Notedebasdepage"/>
      </w:pPr>
    </w:p>
  </w:footnote>
  <w:footnote w:id="6">
    <w:p w14:paraId="49E9F074" w14:textId="7E03F923" w:rsidR="00A90971" w:rsidRPr="00CB313B" w:rsidRDefault="00A90971" w:rsidP="00A90971">
      <w:pPr>
        <w:pStyle w:val="Notedebasdepage"/>
      </w:pPr>
    </w:p>
  </w:footnote>
  <w:footnote w:id="7">
    <w:p w14:paraId="0955F583" w14:textId="77777777" w:rsidR="005F3394" w:rsidRDefault="005F3394">
      <w:pPr>
        <w:pStyle w:val="Notedebasdepage"/>
      </w:pPr>
      <w:r>
        <w:rPr>
          <w:rStyle w:val="Appelnotedebasdep"/>
        </w:rPr>
        <w:footnoteRef/>
      </w:r>
      <w:r>
        <w:t xml:space="preserve"> La </w:t>
      </w:r>
      <w:r w:rsidRPr="005F3394">
        <w:t>Normes E&amp;S SFI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B13C9"/>
    <w:multiLevelType w:val="multilevel"/>
    <w:tmpl w:val="8044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7F4C30"/>
    <w:multiLevelType w:val="multilevel"/>
    <w:tmpl w:val="4616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2E06C6"/>
    <w:multiLevelType w:val="hybridMultilevel"/>
    <w:tmpl w:val="098C8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602"/>
    <w:rsid w:val="0000615A"/>
    <w:rsid w:val="00016314"/>
    <w:rsid w:val="0002467A"/>
    <w:rsid w:val="00026469"/>
    <w:rsid w:val="00031395"/>
    <w:rsid w:val="00034505"/>
    <w:rsid w:val="000356BE"/>
    <w:rsid w:val="000419BB"/>
    <w:rsid w:val="00043588"/>
    <w:rsid w:val="00051FA1"/>
    <w:rsid w:val="00061747"/>
    <w:rsid w:val="00074B98"/>
    <w:rsid w:val="00092E85"/>
    <w:rsid w:val="000A1265"/>
    <w:rsid w:val="000A1425"/>
    <w:rsid w:val="000A6F79"/>
    <w:rsid w:val="000B16B3"/>
    <w:rsid w:val="000B562B"/>
    <w:rsid w:val="000C556E"/>
    <w:rsid w:val="00101069"/>
    <w:rsid w:val="001224E2"/>
    <w:rsid w:val="00122867"/>
    <w:rsid w:val="0012778D"/>
    <w:rsid w:val="0013134D"/>
    <w:rsid w:val="001371AB"/>
    <w:rsid w:val="001475C5"/>
    <w:rsid w:val="00151064"/>
    <w:rsid w:val="0016414D"/>
    <w:rsid w:val="001660C6"/>
    <w:rsid w:val="00167B6B"/>
    <w:rsid w:val="00173B58"/>
    <w:rsid w:val="00176674"/>
    <w:rsid w:val="00176E16"/>
    <w:rsid w:val="00181462"/>
    <w:rsid w:val="00185DB8"/>
    <w:rsid w:val="00195AE3"/>
    <w:rsid w:val="001A2F9E"/>
    <w:rsid w:val="001B3DD5"/>
    <w:rsid w:val="001C2B7B"/>
    <w:rsid w:val="001C49DE"/>
    <w:rsid w:val="001D0105"/>
    <w:rsid w:val="001D1704"/>
    <w:rsid w:val="001D5A18"/>
    <w:rsid w:val="001F2D43"/>
    <w:rsid w:val="001F3D61"/>
    <w:rsid w:val="001F5E27"/>
    <w:rsid w:val="001F724E"/>
    <w:rsid w:val="002017FC"/>
    <w:rsid w:val="00201D11"/>
    <w:rsid w:val="00203A34"/>
    <w:rsid w:val="0022283C"/>
    <w:rsid w:val="00223A3B"/>
    <w:rsid w:val="00225215"/>
    <w:rsid w:val="002332A4"/>
    <w:rsid w:val="002337A9"/>
    <w:rsid w:val="0024007A"/>
    <w:rsid w:val="00246840"/>
    <w:rsid w:val="002611FA"/>
    <w:rsid w:val="0026737D"/>
    <w:rsid w:val="00272F7E"/>
    <w:rsid w:val="002B2845"/>
    <w:rsid w:val="002B5F4F"/>
    <w:rsid w:val="002C74DA"/>
    <w:rsid w:val="002F1838"/>
    <w:rsid w:val="003009F5"/>
    <w:rsid w:val="003042A9"/>
    <w:rsid w:val="003232DF"/>
    <w:rsid w:val="0032601A"/>
    <w:rsid w:val="00332FF1"/>
    <w:rsid w:val="003466FD"/>
    <w:rsid w:val="00351929"/>
    <w:rsid w:val="003537D3"/>
    <w:rsid w:val="003632F1"/>
    <w:rsid w:val="00371360"/>
    <w:rsid w:val="0039222B"/>
    <w:rsid w:val="003A1FAC"/>
    <w:rsid w:val="003B171E"/>
    <w:rsid w:val="003D01AC"/>
    <w:rsid w:val="003D03A7"/>
    <w:rsid w:val="003D6E35"/>
    <w:rsid w:val="003D77A1"/>
    <w:rsid w:val="003F324E"/>
    <w:rsid w:val="003F6DD7"/>
    <w:rsid w:val="004032FB"/>
    <w:rsid w:val="00406986"/>
    <w:rsid w:val="00412449"/>
    <w:rsid w:val="004240DB"/>
    <w:rsid w:val="00427A8F"/>
    <w:rsid w:val="004469F0"/>
    <w:rsid w:val="00491319"/>
    <w:rsid w:val="0049447D"/>
    <w:rsid w:val="004A2CDA"/>
    <w:rsid w:val="004B6E4C"/>
    <w:rsid w:val="004C426F"/>
    <w:rsid w:val="004C612D"/>
    <w:rsid w:val="004D4458"/>
    <w:rsid w:val="004E38D1"/>
    <w:rsid w:val="004E608D"/>
    <w:rsid w:val="005029D5"/>
    <w:rsid w:val="0050566F"/>
    <w:rsid w:val="00510710"/>
    <w:rsid w:val="00532131"/>
    <w:rsid w:val="00532472"/>
    <w:rsid w:val="00532F5C"/>
    <w:rsid w:val="00537A6A"/>
    <w:rsid w:val="00540189"/>
    <w:rsid w:val="005416AA"/>
    <w:rsid w:val="0054404D"/>
    <w:rsid w:val="00571377"/>
    <w:rsid w:val="00580610"/>
    <w:rsid w:val="00581CF6"/>
    <w:rsid w:val="005A5483"/>
    <w:rsid w:val="005C7021"/>
    <w:rsid w:val="005D0119"/>
    <w:rsid w:val="005E2658"/>
    <w:rsid w:val="005F3394"/>
    <w:rsid w:val="005F4189"/>
    <w:rsid w:val="005F50DD"/>
    <w:rsid w:val="005F761D"/>
    <w:rsid w:val="006052AA"/>
    <w:rsid w:val="0060539D"/>
    <w:rsid w:val="006173D5"/>
    <w:rsid w:val="0064404E"/>
    <w:rsid w:val="00656703"/>
    <w:rsid w:val="006639D0"/>
    <w:rsid w:val="006A78E7"/>
    <w:rsid w:val="006C1C99"/>
    <w:rsid w:val="006D2A25"/>
    <w:rsid w:val="006F13A2"/>
    <w:rsid w:val="007130AD"/>
    <w:rsid w:val="0072703F"/>
    <w:rsid w:val="00727C0D"/>
    <w:rsid w:val="007311EF"/>
    <w:rsid w:val="00735140"/>
    <w:rsid w:val="00745822"/>
    <w:rsid w:val="00764335"/>
    <w:rsid w:val="00771093"/>
    <w:rsid w:val="00780FC1"/>
    <w:rsid w:val="0079103D"/>
    <w:rsid w:val="00792514"/>
    <w:rsid w:val="007A2942"/>
    <w:rsid w:val="007A5C27"/>
    <w:rsid w:val="007B065F"/>
    <w:rsid w:val="007C5EA3"/>
    <w:rsid w:val="007D2432"/>
    <w:rsid w:val="007D5414"/>
    <w:rsid w:val="007E1398"/>
    <w:rsid w:val="007E44C7"/>
    <w:rsid w:val="007E6F66"/>
    <w:rsid w:val="00800164"/>
    <w:rsid w:val="00800E41"/>
    <w:rsid w:val="00804009"/>
    <w:rsid w:val="00805113"/>
    <w:rsid w:val="00814E38"/>
    <w:rsid w:val="00827D30"/>
    <w:rsid w:val="0083101B"/>
    <w:rsid w:val="008321D7"/>
    <w:rsid w:val="00833578"/>
    <w:rsid w:val="00841060"/>
    <w:rsid w:val="00844C7C"/>
    <w:rsid w:val="0084720A"/>
    <w:rsid w:val="0084798D"/>
    <w:rsid w:val="00847B31"/>
    <w:rsid w:val="00852D31"/>
    <w:rsid w:val="00852D79"/>
    <w:rsid w:val="008717E4"/>
    <w:rsid w:val="00873153"/>
    <w:rsid w:val="00876710"/>
    <w:rsid w:val="00886352"/>
    <w:rsid w:val="00893D20"/>
    <w:rsid w:val="008955B6"/>
    <w:rsid w:val="00895722"/>
    <w:rsid w:val="008B2469"/>
    <w:rsid w:val="008B3574"/>
    <w:rsid w:val="008C44F3"/>
    <w:rsid w:val="008D0B56"/>
    <w:rsid w:val="008D1B74"/>
    <w:rsid w:val="008D206F"/>
    <w:rsid w:val="008D2CA4"/>
    <w:rsid w:val="008D7667"/>
    <w:rsid w:val="008E117D"/>
    <w:rsid w:val="008E500F"/>
    <w:rsid w:val="008E5742"/>
    <w:rsid w:val="008F2C88"/>
    <w:rsid w:val="008F5268"/>
    <w:rsid w:val="008F7672"/>
    <w:rsid w:val="00902CAC"/>
    <w:rsid w:val="009034B8"/>
    <w:rsid w:val="00904418"/>
    <w:rsid w:val="00926BCE"/>
    <w:rsid w:val="00930682"/>
    <w:rsid w:val="009330FC"/>
    <w:rsid w:val="009614D4"/>
    <w:rsid w:val="0097040C"/>
    <w:rsid w:val="00985E2B"/>
    <w:rsid w:val="009A1ACD"/>
    <w:rsid w:val="009B349F"/>
    <w:rsid w:val="009C6B49"/>
    <w:rsid w:val="009E6D9A"/>
    <w:rsid w:val="009E77B6"/>
    <w:rsid w:val="009F44CC"/>
    <w:rsid w:val="009F738B"/>
    <w:rsid w:val="00A02036"/>
    <w:rsid w:val="00A02A2F"/>
    <w:rsid w:val="00A03C9A"/>
    <w:rsid w:val="00A200F1"/>
    <w:rsid w:val="00A23B3C"/>
    <w:rsid w:val="00A33ADB"/>
    <w:rsid w:val="00A551B6"/>
    <w:rsid w:val="00A64A62"/>
    <w:rsid w:val="00A65556"/>
    <w:rsid w:val="00A77342"/>
    <w:rsid w:val="00A80BE3"/>
    <w:rsid w:val="00A83EA1"/>
    <w:rsid w:val="00A86C2B"/>
    <w:rsid w:val="00A90971"/>
    <w:rsid w:val="00A96589"/>
    <w:rsid w:val="00AA2509"/>
    <w:rsid w:val="00AB0F9E"/>
    <w:rsid w:val="00AC05D2"/>
    <w:rsid w:val="00AC225B"/>
    <w:rsid w:val="00AD29AE"/>
    <w:rsid w:val="00AD5485"/>
    <w:rsid w:val="00AE1FCB"/>
    <w:rsid w:val="00AE2BBF"/>
    <w:rsid w:val="00AE7D43"/>
    <w:rsid w:val="00B136C0"/>
    <w:rsid w:val="00B177ED"/>
    <w:rsid w:val="00B22040"/>
    <w:rsid w:val="00B33755"/>
    <w:rsid w:val="00B53998"/>
    <w:rsid w:val="00B562F3"/>
    <w:rsid w:val="00B875A7"/>
    <w:rsid w:val="00B94679"/>
    <w:rsid w:val="00B97CC1"/>
    <w:rsid w:val="00BA0646"/>
    <w:rsid w:val="00BA6641"/>
    <w:rsid w:val="00BC45E5"/>
    <w:rsid w:val="00BC4F05"/>
    <w:rsid w:val="00BC54AB"/>
    <w:rsid w:val="00BC59AC"/>
    <w:rsid w:val="00BC662F"/>
    <w:rsid w:val="00BE21FD"/>
    <w:rsid w:val="00BE5F3F"/>
    <w:rsid w:val="00C06E59"/>
    <w:rsid w:val="00C13781"/>
    <w:rsid w:val="00C22359"/>
    <w:rsid w:val="00C2338F"/>
    <w:rsid w:val="00C30B9E"/>
    <w:rsid w:val="00C33246"/>
    <w:rsid w:val="00C40553"/>
    <w:rsid w:val="00C42458"/>
    <w:rsid w:val="00C52582"/>
    <w:rsid w:val="00C54347"/>
    <w:rsid w:val="00C5557E"/>
    <w:rsid w:val="00C570C1"/>
    <w:rsid w:val="00C71FD0"/>
    <w:rsid w:val="00C735C9"/>
    <w:rsid w:val="00C756B6"/>
    <w:rsid w:val="00C83EBF"/>
    <w:rsid w:val="00C919FC"/>
    <w:rsid w:val="00CB313B"/>
    <w:rsid w:val="00CB4EB3"/>
    <w:rsid w:val="00CC4E7E"/>
    <w:rsid w:val="00CC588B"/>
    <w:rsid w:val="00CD166D"/>
    <w:rsid w:val="00CE13C8"/>
    <w:rsid w:val="00CE7231"/>
    <w:rsid w:val="00CF25EE"/>
    <w:rsid w:val="00CF2A88"/>
    <w:rsid w:val="00CF2CE8"/>
    <w:rsid w:val="00CF4706"/>
    <w:rsid w:val="00D0155D"/>
    <w:rsid w:val="00D02FF6"/>
    <w:rsid w:val="00D10686"/>
    <w:rsid w:val="00D1722D"/>
    <w:rsid w:val="00D17BF2"/>
    <w:rsid w:val="00D26022"/>
    <w:rsid w:val="00D42823"/>
    <w:rsid w:val="00D52D7F"/>
    <w:rsid w:val="00D54646"/>
    <w:rsid w:val="00D55D33"/>
    <w:rsid w:val="00D73B9D"/>
    <w:rsid w:val="00D854F8"/>
    <w:rsid w:val="00D958C3"/>
    <w:rsid w:val="00DA47C7"/>
    <w:rsid w:val="00DC1ED0"/>
    <w:rsid w:val="00DD192E"/>
    <w:rsid w:val="00DD1F93"/>
    <w:rsid w:val="00DD37B1"/>
    <w:rsid w:val="00DD7602"/>
    <w:rsid w:val="00DF009F"/>
    <w:rsid w:val="00DF161B"/>
    <w:rsid w:val="00DF70D2"/>
    <w:rsid w:val="00DF7590"/>
    <w:rsid w:val="00E074E3"/>
    <w:rsid w:val="00E07525"/>
    <w:rsid w:val="00E12227"/>
    <w:rsid w:val="00E338D9"/>
    <w:rsid w:val="00E368BA"/>
    <w:rsid w:val="00E42E55"/>
    <w:rsid w:val="00E76E67"/>
    <w:rsid w:val="00E85703"/>
    <w:rsid w:val="00E85B75"/>
    <w:rsid w:val="00E87A41"/>
    <w:rsid w:val="00E915E4"/>
    <w:rsid w:val="00E974A2"/>
    <w:rsid w:val="00EA2E08"/>
    <w:rsid w:val="00EA420B"/>
    <w:rsid w:val="00EB2FB5"/>
    <w:rsid w:val="00EB34B1"/>
    <w:rsid w:val="00EC4714"/>
    <w:rsid w:val="00EC64CC"/>
    <w:rsid w:val="00ED4689"/>
    <w:rsid w:val="00EE0489"/>
    <w:rsid w:val="00EF0C23"/>
    <w:rsid w:val="00EF2486"/>
    <w:rsid w:val="00F2053C"/>
    <w:rsid w:val="00F63D7C"/>
    <w:rsid w:val="00F807D7"/>
    <w:rsid w:val="00F91D60"/>
    <w:rsid w:val="00F92310"/>
    <w:rsid w:val="00F926C0"/>
    <w:rsid w:val="00F92A72"/>
    <w:rsid w:val="00F9463A"/>
    <w:rsid w:val="00F94845"/>
    <w:rsid w:val="00F957CC"/>
    <w:rsid w:val="00FA4A0C"/>
    <w:rsid w:val="00FA7335"/>
    <w:rsid w:val="00FB0312"/>
    <w:rsid w:val="00FB3CF6"/>
    <w:rsid w:val="00FB637D"/>
    <w:rsid w:val="00FD29CE"/>
    <w:rsid w:val="00FD34DA"/>
    <w:rsid w:val="00FD46DA"/>
    <w:rsid w:val="00FD6B00"/>
    <w:rsid w:val="11969D40"/>
    <w:rsid w:val="23B632FE"/>
    <w:rsid w:val="2A043833"/>
    <w:rsid w:val="349CA41D"/>
    <w:rsid w:val="35C01485"/>
    <w:rsid w:val="3736CEB9"/>
    <w:rsid w:val="3ACD70B4"/>
    <w:rsid w:val="437B9F09"/>
    <w:rsid w:val="45310BAF"/>
    <w:rsid w:val="476F3691"/>
    <w:rsid w:val="4B73B4DB"/>
    <w:rsid w:val="4BC7FED5"/>
    <w:rsid w:val="4FE21EA4"/>
    <w:rsid w:val="52112BA3"/>
    <w:rsid w:val="5ADD876E"/>
    <w:rsid w:val="6003E278"/>
    <w:rsid w:val="617EFB86"/>
    <w:rsid w:val="6418F5C0"/>
    <w:rsid w:val="643F4DF7"/>
    <w:rsid w:val="6441C2F8"/>
    <w:rsid w:val="678F4902"/>
    <w:rsid w:val="68586FD2"/>
    <w:rsid w:val="6A2E9E22"/>
    <w:rsid w:val="73714A69"/>
    <w:rsid w:val="765D684E"/>
    <w:rsid w:val="7D7A0C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107C4"/>
  <w15:chartTrackingRefBased/>
  <w15:docId w15:val="{A01AC11F-BC09-D34E-910C-91808B0A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321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B562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D7602"/>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DD7602"/>
    <w:rPr>
      <w:b/>
      <w:bCs/>
    </w:rPr>
  </w:style>
  <w:style w:type="paragraph" w:styleId="Notedebasdepage">
    <w:name w:val="footnote text"/>
    <w:basedOn w:val="Normal"/>
    <w:link w:val="NotedebasdepageCar"/>
    <w:uiPriority w:val="99"/>
    <w:semiHidden/>
    <w:unhideWhenUsed/>
    <w:rsid w:val="001D1704"/>
    <w:rPr>
      <w:sz w:val="20"/>
      <w:szCs w:val="20"/>
    </w:rPr>
  </w:style>
  <w:style w:type="character" w:customStyle="1" w:styleId="NotedebasdepageCar">
    <w:name w:val="Note de bas de page Car"/>
    <w:basedOn w:val="Policepardfaut"/>
    <w:link w:val="Notedebasdepage"/>
    <w:uiPriority w:val="99"/>
    <w:semiHidden/>
    <w:rsid w:val="001D1704"/>
    <w:rPr>
      <w:sz w:val="20"/>
      <w:szCs w:val="20"/>
    </w:rPr>
  </w:style>
  <w:style w:type="character" w:styleId="Appelnotedebasdep">
    <w:name w:val="footnote reference"/>
    <w:basedOn w:val="Policepardfaut"/>
    <w:uiPriority w:val="99"/>
    <w:semiHidden/>
    <w:unhideWhenUsed/>
    <w:rsid w:val="001D1704"/>
    <w:rPr>
      <w:vertAlign w:val="superscript"/>
    </w:rPr>
  </w:style>
  <w:style w:type="paragraph" w:styleId="En-tte">
    <w:name w:val="header"/>
    <w:basedOn w:val="Normal"/>
    <w:link w:val="En-tteCar"/>
    <w:uiPriority w:val="99"/>
    <w:unhideWhenUsed/>
    <w:rsid w:val="00532F5C"/>
    <w:pPr>
      <w:tabs>
        <w:tab w:val="center" w:pos="4536"/>
        <w:tab w:val="right" w:pos="9072"/>
      </w:tabs>
    </w:pPr>
  </w:style>
  <w:style w:type="character" w:customStyle="1" w:styleId="En-tteCar">
    <w:name w:val="En-tête Car"/>
    <w:basedOn w:val="Policepardfaut"/>
    <w:link w:val="En-tte"/>
    <w:uiPriority w:val="99"/>
    <w:rsid w:val="00532F5C"/>
  </w:style>
  <w:style w:type="paragraph" w:styleId="Pieddepage">
    <w:name w:val="footer"/>
    <w:basedOn w:val="Normal"/>
    <w:link w:val="PieddepageCar"/>
    <w:uiPriority w:val="99"/>
    <w:unhideWhenUsed/>
    <w:rsid w:val="00532F5C"/>
    <w:pPr>
      <w:tabs>
        <w:tab w:val="center" w:pos="4536"/>
        <w:tab w:val="right" w:pos="9072"/>
      </w:tabs>
    </w:pPr>
  </w:style>
  <w:style w:type="character" w:customStyle="1" w:styleId="PieddepageCar">
    <w:name w:val="Pied de page Car"/>
    <w:basedOn w:val="Policepardfaut"/>
    <w:link w:val="Pieddepage"/>
    <w:uiPriority w:val="99"/>
    <w:rsid w:val="00532F5C"/>
  </w:style>
  <w:style w:type="character" w:styleId="Lienhypertexte">
    <w:name w:val="Hyperlink"/>
    <w:basedOn w:val="Policepardfaut"/>
    <w:uiPriority w:val="99"/>
    <w:unhideWhenUsed/>
    <w:rsid w:val="007E6F66"/>
    <w:rPr>
      <w:color w:val="0563C1" w:themeColor="hyperlink"/>
      <w:u w:val="single"/>
    </w:rPr>
  </w:style>
  <w:style w:type="character" w:styleId="Mentionnonrsolue">
    <w:name w:val="Unresolved Mention"/>
    <w:basedOn w:val="Policepardfaut"/>
    <w:uiPriority w:val="99"/>
    <w:semiHidden/>
    <w:unhideWhenUsed/>
    <w:rsid w:val="007E6F66"/>
    <w:rPr>
      <w:color w:val="605E5C"/>
      <w:shd w:val="clear" w:color="auto" w:fill="E1DFDD"/>
    </w:rPr>
  </w:style>
  <w:style w:type="character" w:styleId="Lienhypertextesuivivisit">
    <w:name w:val="FollowedHyperlink"/>
    <w:basedOn w:val="Policepardfaut"/>
    <w:uiPriority w:val="99"/>
    <w:semiHidden/>
    <w:unhideWhenUsed/>
    <w:rsid w:val="007E6F66"/>
    <w:rPr>
      <w:color w:val="954F72" w:themeColor="followedHyperlink"/>
      <w:u w:val="single"/>
    </w:rPr>
  </w:style>
  <w:style w:type="paragraph" w:styleId="Rvision">
    <w:name w:val="Revision"/>
    <w:hidden/>
    <w:uiPriority w:val="99"/>
    <w:semiHidden/>
    <w:rsid w:val="009E6D9A"/>
  </w:style>
  <w:style w:type="character" w:styleId="Marquedecommentaire">
    <w:name w:val="annotation reference"/>
    <w:basedOn w:val="Policepardfaut"/>
    <w:uiPriority w:val="99"/>
    <w:semiHidden/>
    <w:unhideWhenUsed/>
    <w:rsid w:val="001F2D43"/>
    <w:rPr>
      <w:sz w:val="16"/>
      <w:szCs w:val="16"/>
    </w:rPr>
  </w:style>
  <w:style w:type="paragraph" w:styleId="Commentaire">
    <w:name w:val="annotation text"/>
    <w:basedOn w:val="Normal"/>
    <w:link w:val="CommentaireCar"/>
    <w:uiPriority w:val="99"/>
    <w:semiHidden/>
    <w:unhideWhenUsed/>
    <w:rsid w:val="001F2D43"/>
    <w:rPr>
      <w:sz w:val="20"/>
      <w:szCs w:val="20"/>
    </w:rPr>
  </w:style>
  <w:style w:type="character" w:customStyle="1" w:styleId="CommentaireCar">
    <w:name w:val="Commentaire Car"/>
    <w:basedOn w:val="Policepardfaut"/>
    <w:link w:val="Commentaire"/>
    <w:uiPriority w:val="99"/>
    <w:semiHidden/>
    <w:rsid w:val="001F2D43"/>
    <w:rPr>
      <w:sz w:val="20"/>
      <w:szCs w:val="20"/>
    </w:rPr>
  </w:style>
  <w:style w:type="paragraph" w:styleId="Objetducommentaire">
    <w:name w:val="annotation subject"/>
    <w:basedOn w:val="Commentaire"/>
    <w:next w:val="Commentaire"/>
    <w:link w:val="ObjetducommentaireCar"/>
    <w:uiPriority w:val="99"/>
    <w:semiHidden/>
    <w:unhideWhenUsed/>
    <w:rsid w:val="001F2D43"/>
    <w:rPr>
      <w:b/>
      <w:bCs/>
    </w:rPr>
  </w:style>
  <w:style w:type="character" w:customStyle="1" w:styleId="ObjetducommentaireCar">
    <w:name w:val="Objet du commentaire Car"/>
    <w:basedOn w:val="CommentaireCar"/>
    <w:link w:val="Objetducommentaire"/>
    <w:uiPriority w:val="99"/>
    <w:semiHidden/>
    <w:rsid w:val="001F2D43"/>
    <w:rPr>
      <w:b/>
      <w:bCs/>
      <w:sz w:val="20"/>
      <w:szCs w:val="20"/>
    </w:rPr>
  </w:style>
  <w:style w:type="character" w:customStyle="1" w:styleId="Titre1Car">
    <w:name w:val="Titre 1 Car"/>
    <w:basedOn w:val="Policepardfaut"/>
    <w:link w:val="Titre1"/>
    <w:uiPriority w:val="9"/>
    <w:rsid w:val="00532131"/>
    <w:rPr>
      <w:rFonts w:asciiTheme="majorHAnsi" w:eastAsiaTheme="majorEastAsia" w:hAnsiTheme="majorHAnsi" w:cstheme="majorBidi"/>
      <w:color w:val="2F5496" w:themeColor="accent1" w:themeShade="BF"/>
      <w:sz w:val="32"/>
      <w:szCs w:val="32"/>
    </w:rPr>
  </w:style>
  <w:style w:type="paragraph" w:styleId="TM1">
    <w:name w:val="toc 1"/>
    <w:basedOn w:val="Normal"/>
    <w:next w:val="Normal"/>
    <w:autoRedefine/>
    <w:uiPriority w:val="39"/>
    <w:unhideWhenUsed/>
    <w:rsid w:val="00EE0489"/>
    <w:pPr>
      <w:spacing w:after="100"/>
    </w:pPr>
  </w:style>
  <w:style w:type="character" w:customStyle="1" w:styleId="Titre2Car">
    <w:name w:val="Titre 2 Car"/>
    <w:basedOn w:val="Policepardfaut"/>
    <w:link w:val="Titre2"/>
    <w:uiPriority w:val="9"/>
    <w:rsid w:val="000B562B"/>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B177ED"/>
    <w:pPr>
      <w:spacing w:after="100"/>
      <w:ind w:left="240"/>
    </w:pPr>
  </w:style>
  <w:style w:type="paragraph" w:styleId="Lgende">
    <w:name w:val="caption"/>
    <w:basedOn w:val="Normal"/>
    <w:next w:val="Normal"/>
    <w:uiPriority w:val="35"/>
    <w:unhideWhenUsed/>
    <w:qFormat/>
    <w:rsid w:val="0013134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530">
      <w:bodyDiv w:val="1"/>
      <w:marLeft w:val="0"/>
      <w:marRight w:val="0"/>
      <w:marTop w:val="0"/>
      <w:marBottom w:val="0"/>
      <w:divBdr>
        <w:top w:val="none" w:sz="0" w:space="0" w:color="auto"/>
        <w:left w:val="none" w:sz="0" w:space="0" w:color="auto"/>
        <w:bottom w:val="none" w:sz="0" w:space="0" w:color="auto"/>
        <w:right w:val="none" w:sz="0" w:space="0" w:color="auto"/>
      </w:divBdr>
    </w:div>
    <w:div w:id="145054815">
      <w:bodyDiv w:val="1"/>
      <w:marLeft w:val="0"/>
      <w:marRight w:val="0"/>
      <w:marTop w:val="0"/>
      <w:marBottom w:val="0"/>
      <w:divBdr>
        <w:top w:val="none" w:sz="0" w:space="0" w:color="auto"/>
        <w:left w:val="none" w:sz="0" w:space="0" w:color="auto"/>
        <w:bottom w:val="none" w:sz="0" w:space="0" w:color="auto"/>
        <w:right w:val="none" w:sz="0" w:space="0" w:color="auto"/>
      </w:divBdr>
    </w:div>
    <w:div w:id="294454542">
      <w:bodyDiv w:val="1"/>
      <w:marLeft w:val="0"/>
      <w:marRight w:val="0"/>
      <w:marTop w:val="0"/>
      <w:marBottom w:val="0"/>
      <w:divBdr>
        <w:top w:val="none" w:sz="0" w:space="0" w:color="auto"/>
        <w:left w:val="none" w:sz="0" w:space="0" w:color="auto"/>
        <w:bottom w:val="none" w:sz="0" w:space="0" w:color="auto"/>
        <w:right w:val="none" w:sz="0" w:space="0" w:color="auto"/>
      </w:divBdr>
      <w:divsChild>
        <w:div w:id="628974579">
          <w:marLeft w:val="0"/>
          <w:marRight w:val="0"/>
          <w:marTop w:val="0"/>
          <w:marBottom w:val="0"/>
          <w:divBdr>
            <w:top w:val="none" w:sz="0" w:space="0" w:color="auto"/>
            <w:left w:val="none" w:sz="0" w:space="0" w:color="auto"/>
            <w:bottom w:val="none" w:sz="0" w:space="0" w:color="auto"/>
            <w:right w:val="none" w:sz="0" w:space="0" w:color="auto"/>
          </w:divBdr>
        </w:div>
      </w:divsChild>
    </w:div>
    <w:div w:id="559512585">
      <w:bodyDiv w:val="1"/>
      <w:marLeft w:val="0"/>
      <w:marRight w:val="0"/>
      <w:marTop w:val="0"/>
      <w:marBottom w:val="0"/>
      <w:divBdr>
        <w:top w:val="none" w:sz="0" w:space="0" w:color="auto"/>
        <w:left w:val="none" w:sz="0" w:space="0" w:color="auto"/>
        <w:bottom w:val="none" w:sz="0" w:space="0" w:color="auto"/>
        <w:right w:val="none" w:sz="0" w:space="0" w:color="auto"/>
      </w:divBdr>
    </w:div>
    <w:div w:id="780613643">
      <w:bodyDiv w:val="1"/>
      <w:marLeft w:val="0"/>
      <w:marRight w:val="0"/>
      <w:marTop w:val="0"/>
      <w:marBottom w:val="0"/>
      <w:divBdr>
        <w:top w:val="none" w:sz="0" w:space="0" w:color="auto"/>
        <w:left w:val="none" w:sz="0" w:space="0" w:color="auto"/>
        <w:bottom w:val="none" w:sz="0" w:space="0" w:color="auto"/>
        <w:right w:val="none" w:sz="0" w:space="0" w:color="auto"/>
      </w:divBdr>
      <w:divsChild>
        <w:div w:id="1519931672">
          <w:marLeft w:val="0"/>
          <w:marRight w:val="0"/>
          <w:marTop w:val="0"/>
          <w:marBottom w:val="0"/>
          <w:divBdr>
            <w:top w:val="none" w:sz="0" w:space="0" w:color="auto"/>
            <w:left w:val="none" w:sz="0" w:space="0" w:color="auto"/>
            <w:bottom w:val="none" w:sz="0" w:space="0" w:color="auto"/>
            <w:right w:val="none" w:sz="0" w:space="0" w:color="auto"/>
          </w:divBdr>
        </w:div>
      </w:divsChild>
    </w:div>
    <w:div w:id="912395211">
      <w:bodyDiv w:val="1"/>
      <w:marLeft w:val="0"/>
      <w:marRight w:val="0"/>
      <w:marTop w:val="0"/>
      <w:marBottom w:val="0"/>
      <w:divBdr>
        <w:top w:val="none" w:sz="0" w:space="0" w:color="auto"/>
        <w:left w:val="none" w:sz="0" w:space="0" w:color="auto"/>
        <w:bottom w:val="none" w:sz="0" w:space="0" w:color="auto"/>
        <w:right w:val="none" w:sz="0" w:space="0" w:color="auto"/>
      </w:divBdr>
    </w:div>
    <w:div w:id="926695655">
      <w:bodyDiv w:val="1"/>
      <w:marLeft w:val="0"/>
      <w:marRight w:val="0"/>
      <w:marTop w:val="0"/>
      <w:marBottom w:val="0"/>
      <w:divBdr>
        <w:top w:val="none" w:sz="0" w:space="0" w:color="auto"/>
        <w:left w:val="none" w:sz="0" w:space="0" w:color="auto"/>
        <w:bottom w:val="none" w:sz="0" w:space="0" w:color="auto"/>
        <w:right w:val="none" w:sz="0" w:space="0" w:color="auto"/>
      </w:divBdr>
    </w:div>
    <w:div w:id="942227407">
      <w:bodyDiv w:val="1"/>
      <w:marLeft w:val="0"/>
      <w:marRight w:val="0"/>
      <w:marTop w:val="0"/>
      <w:marBottom w:val="0"/>
      <w:divBdr>
        <w:top w:val="none" w:sz="0" w:space="0" w:color="auto"/>
        <w:left w:val="none" w:sz="0" w:space="0" w:color="auto"/>
        <w:bottom w:val="none" w:sz="0" w:space="0" w:color="auto"/>
        <w:right w:val="none" w:sz="0" w:space="0" w:color="auto"/>
      </w:divBdr>
    </w:div>
    <w:div w:id="148878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ctionminesguinee.org/2024/11/12/projet-simandou-action-mines-guinee-ong-publie-le-rapport-annuel-dimpact-des-comites-de-suivi/"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www.codecguinee.org/2023/03/23/guinee-acces-des-femmes-au-foncier-agricole/" TargetMode="External"/><Relationship Id="rId1" Type="http://schemas.openxmlformats.org/officeDocument/2006/relationships/hyperlink" Target="https://guineenews.org/simandou-rio-tinto-annonce-aux-actionnaires-et-investisseurs-la-date-de-la-premiere-production-du-minerai-de-fer/?utm_source=chatgpt.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ab2bfe-42e8-47c4-a510-d12f8e47823d">
      <Terms xmlns="http://schemas.microsoft.com/office/infopath/2007/PartnerControls"/>
    </lcf76f155ced4ddcb4097134ff3c332f>
    <TaxCatchAll xmlns="ba9240c2-8f64-4e62-bd63-8cc899a81401" xsi:nil="true"/>
    <_dlc_DocId xmlns="ba9240c2-8f64-4e62-bd63-8cc899a81401">Z6C2WRQCSEFN-214756643-229</_dlc_DocId>
    <_dlc_DocIdUrl xmlns="ba9240c2-8f64-4e62-bd63-8cc899a81401">
      <Url>https://iied.sharepoint.com/sites/pro/11579/_layouts/15/DocIdRedir.aspx?ID=Z6C2WRQCSEFN-214756643-229</Url>
      <Description>Z6C2WRQCSEFN-214756643-229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E04DF6F3B92E4CA432718FDF133FA0" ma:contentTypeVersion="13" ma:contentTypeDescription="Create a new document." ma:contentTypeScope="" ma:versionID="1188cd918cc00be346674eeabdf804bd">
  <xsd:schema xmlns:xsd="http://www.w3.org/2001/XMLSchema" xmlns:xs="http://www.w3.org/2001/XMLSchema" xmlns:p="http://schemas.microsoft.com/office/2006/metadata/properties" xmlns:ns2="ba9240c2-8f64-4e62-bd63-8cc899a81401" xmlns:ns3="67ab2bfe-42e8-47c4-a510-d12f8e47823d" targetNamespace="http://schemas.microsoft.com/office/2006/metadata/properties" ma:root="true" ma:fieldsID="f388a16919b965f840902a896480bd3a" ns2:_="" ns3:_="">
    <xsd:import namespace="ba9240c2-8f64-4e62-bd63-8cc899a81401"/>
    <xsd:import namespace="67ab2bfe-42e8-47c4-a510-d12f8e4782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240c2-8f64-4e62-bd63-8cc899a814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bb142e4-c8ce-4d30-88a9-e66308162894}" ma:internalName="TaxCatchAll" ma:showField="CatchAllData" ma:web="ba9240c2-8f64-4e62-bd63-8cc899a814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ab2bfe-42e8-47c4-a510-d12f8e4782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c47509d-8003-4378-a92b-da3cfaafe5b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29A10EF-BCB2-4845-A64B-A5E2720CA3C5}">
  <ds:schemaRefs>
    <ds:schemaRef ds:uri="http://schemas.microsoft.com/office/2006/metadata/properties"/>
    <ds:schemaRef ds:uri="http://schemas.microsoft.com/office/infopath/2007/PartnerControls"/>
    <ds:schemaRef ds:uri="67ab2bfe-42e8-47c4-a510-d12f8e47823d"/>
    <ds:schemaRef ds:uri="ba9240c2-8f64-4e62-bd63-8cc899a81401"/>
  </ds:schemaRefs>
</ds:datastoreItem>
</file>

<file path=customXml/itemProps2.xml><?xml version="1.0" encoding="utf-8"?>
<ds:datastoreItem xmlns:ds="http://schemas.openxmlformats.org/officeDocument/2006/customXml" ds:itemID="{510255FA-44AA-4A17-A3A5-34212919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240c2-8f64-4e62-bd63-8cc899a81401"/>
    <ds:schemaRef ds:uri="67ab2bfe-42e8-47c4-a510-d12f8e4782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44C81C-ECBE-41EC-9C7B-C1438AD11999}">
  <ds:schemaRefs>
    <ds:schemaRef ds:uri="http://schemas.microsoft.com/sharepoint/v3/contenttype/forms"/>
  </ds:schemaRefs>
</ds:datastoreItem>
</file>

<file path=customXml/itemProps4.xml><?xml version="1.0" encoding="utf-8"?>
<ds:datastoreItem xmlns:ds="http://schemas.openxmlformats.org/officeDocument/2006/customXml" ds:itemID="{58166A58-4310-44FA-8673-DAA46AEEF3A6}">
  <ds:schemaRefs>
    <ds:schemaRef ds:uri="http://schemas.openxmlformats.org/officeDocument/2006/bibliography"/>
  </ds:schemaRefs>
</ds:datastoreItem>
</file>

<file path=customXml/itemProps5.xml><?xml version="1.0" encoding="utf-8"?>
<ds:datastoreItem xmlns:ds="http://schemas.openxmlformats.org/officeDocument/2006/customXml" ds:itemID="{8C00808D-507F-4B83-B4B0-CC62EAC120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2964</Words>
  <Characters>16307</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19233</CharactersWithSpaces>
  <SharedDoc>false</SharedDoc>
  <HLinks>
    <vt:vector size="90" baseType="variant">
      <vt:variant>
        <vt:i4>4718650</vt:i4>
      </vt:variant>
      <vt:variant>
        <vt:i4>63</vt:i4>
      </vt:variant>
      <vt:variant>
        <vt:i4>0</vt:i4>
      </vt:variant>
      <vt:variant>
        <vt:i4>5</vt:i4>
      </vt:variant>
      <vt:variant>
        <vt:lpwstr>https://www.codecguinee.org/wp-content/uploads/2022/09/Me%CC%81morandum-du-CODEC-sur-le-Simandou_VF-1.pdf</vt:lpwstr>
      </vt:variant>
      <vt:variant>
        <vt:lpwstr/>
      </vt:variant>
      <vt:variant>
        <vt:i4>1638452</vt:i4>
      </vt:variant>
      <vt:variant>
        <vt:i4>56</vt:i4>
      </vt:variant>
      <vt:variant>
        <vt:i4>0</vt:i4>
      </vt:variant>
      <vt:variant>
        <vt:i4>5</vt:i4>
      </vt:variant>
      <vt:variant>
        <vt:lpwstr/>
      </vt:variant>
      <vt:variant>
        <vt:lpwstr>_Toc192575072</vt:lpwstr>
      </vt:variant>
      <vt:variant>
        <vt:i4>1638452</vt:i4>
      </vt:variant>
      <vt:variant>
        <vt:i4>50</vt:i4>
      </vt:variant>
      <vt:variant>
        <vt:i4>0</vt:i4>
      </vt:variant>
      <vt:variant>
        <vt:i4>5</vt:i4>
      </vt:variant>
      <vt:variant>
        <vt:lpwstr/>
      </vt:variant>
      <vt:variant>
        <vt:lpwstr>_Toc192575071</vt:lpwstr>
      </vt:variant>
      <vt:variant>
        <vt:i4>1638452</vt:i4>
      </vt:variant>
      <vt:variant>
        <vt:i4>44</vt:i4>
      </vt:variant>
      <vt:variant>
        <vt:i4>0</vt:i4>
      </vt:variant>
      <vt:variant>
        <vt:i4>5</vt:i4>
      </vt:variant>
      <vt:variant>
        <vt:lpwstr/>
      </vt:variant>
      <vt:variant>
        <vt:lpwstr>_Toc192575070</vt:lpwstr>
      </vt:variant>
      <vt:variant>
        <vt:i4>1572916</vt:i4>
      </vt:variant>
      <vt:variant>
        <vt:i4>38</vt:i4>
      </vt:variant>
      <vt:variant>
        <vt:i4>0</vt:i4>
      </vt:variant>
      <vt:variant>
        <vt:i4>5</vt:i4>
      </vt:variant>
      <vt:variant>
        <vt:lpwstr/>
      </vt:variant>
      <vt:variant>
        <vt:lpwstr>_Toc192575069</vt:lpwstr>
      </vt:variant>
      <vt:variant>
        <vt:i4>1572916</vt:i4>
      </vt:variant>
      <vt:variant>
        <vt:i4>32</vt:i4>
      </vt:variant>
      <vt:variant>
        <vt:i4>0</vt:i4>
      </vt:variant>
      <vt:variant>
        <vt:i4>5</vt:i4>
      </vt:variant>
      <vt:variant>
        <vt:lpwstr/>
      </vt:variant>
      <vt:variant>
        <vt:lpwstr>_Toc192575068</vt:lpwstr>
      </vt:variant>
      <vt:variant>
        <vt:i4>1572916</vt:i4>
      </vt:variant>
      <vt:variant>
        <vt:i4>26</vt:i4>
      </vt:variant>
      <vt:variant>
        <vt:i4>0</vt:i4>
      </vt:variant>
      <vt:variant>
        <vt:i4>5</vt:i4>
      </vt:variant>
      <vt:variant>
        <vt:lpwstr/>
      </vt:variant>
      <vt:variant>
        <vt:lpwstr>_Toc192575067</vt:lpwstr>
      </vt:variant>
      <vt:variant>
        <vt:i4>1572916</vt:i4>
      </vt:variant>
      <vt:variant>
        <vt:i4>20</vt:i4>
      </vt:variant>
      <vt:variant>
        <vt:i4>0</vt:i4>
      </vt:variant>
      <vt:variant>
        <vt:i4>5</vt:i4>
      </vt:variant>
      <vt:variant>
        <vt:lpwstr/>
      </vt:variant>
      <vt:variant>
        <vt:lpwstr>_Toc192575066</vt:lpwstr>
      </vt:variant>
      <vt:variant>
        <vt:i4>1572916</vt:i4>
      </vt:variant>
      <vt:variant>
        <vt:i4>14</vt:i4>
      </vt:variant>
      <vt:variant>
        <vt:i4>0</vt:i4>
      </vt:variant>
      <vt:variant>
        <vt:i4>5</vt:i4>
      </vt:variant>
      <vt:variant>
        <vt:lpwstr/>
      </vt:variant>
      <vt:variant>
        <vt:lpwstr>_Toc192575065</vt:lpwstr>
      </vt:variant>
      <vt:variant>
        <vt:i4>1572916</vt:i4>
      </vt:variant>
      <vt:variant>
        <vt:i4>8</vt:i4>
      </vt:variant>
      <vt:variant>
        <vt:i4>0</vt:i4>
      </vt:variant>
      <vt:variant>
        <vt:i4>5</vt:i4>
      </vt:variant>
      <vt:variant>
        <vt:lpwstr/>
      </vt:variant>
      <vt:variant>
        <vt:lpwstr>_Toc192575064</vt:lpwstr>
      </vt:variant>
      <vt:variant>
        <vt:i4>1572916</vt:i4>
      </vt:variant>
      <vt:variant>
        <vt:i4>2</vt:i4>
      </vt:variant>
      <vt:variant>
        <vt:i4>0</vt:i4>
      </vt:variant>
      <vt:variant>
        <vt:i4>5</vt:i4>
      </vt:variant>
      <vt:variant>
        <vt:lpwstr/>
      </vt:variant>
      <vt:variant>
        <vt:lpwstr>_Toc192575063</vt:lpwstr>
      </vt:variant>
      <vt:variant>
        <vt:i4>6422598</vt:i4>
      </vt:variant>
      <vt:variant>
        <vt:i4>0</vt:i4>
      </vt:variant>
      <vt:variant>
        <vt:i4>0</vt:i4>
      </vt:variant>
      <vt:variant>
        <vt:i4>5</vt:i4>
      </vt:variant>
      <vt:variant>
        <vt:lpwstr>https://guineenews.org/simandou-rio-tinto-annonce-aux-actionnaires-et-investisseurs-la-date-de-la-premiere-production-du-minerai-de-fer/?utm_source=chatgpt.com</vt:lpwstr>
      </vt:variant>
      <vt:variant>
        <vt:lpwstr/>
      </vt:variant>
      <vt:variant>
        <vt:i4>3735567</vt:i4>
      </vt:variant>
      <vt:variant>
        <vt:i4>6</vt:i4>
      </vt:variant>
      <vt:variant>
        <vt:i4>0</vt:i4>
      </vt:variant>
      <vt:variant>
        <vt:i4>5</vt:i4>
      </vt:variant>
      <vt:variant>
        <vt:lpwstr>https://www.codecguinee.org/wp-content/uploads/2023/03/Acces-des-femmes-au-foncier_RapportFinal.pdf</vt:lpwstr>
      </vt:variant>
      <vt:variant>
        <vt:lpwstr/>
      </vt:variant>
      <vt:variant>
        <vt:i4>3735567</vt:i4>
      </vt:variant>
      <vt:variant>
        <vt:i4>3</vt:i4>
      </vt:variant>
      <vt:variant>
        <vt:i4>0</vt:i4>
      </vt:variant>
      <vt:variant>
        <vt:i4>5</vt:i4>
      </vt:variant>
      <vt:variant>
        <vt:lpwstr>https://www.codecguinee.org/wp-content/uploads/2023/03/Acces-des-femmes-au-foncier_RapportFinal.pdf</vt:lpwstr>
      </vt:variant>
      <vt:variant>
        <vt:lpwstr/>
      </vt:variant>
      <vt:variant>
        <vt:i4>2556018</vt:i4>
      </vt:variant>
      <vt:variant>
        <vt:i4>0</vt:i4>
      </vt:variant>
      <vt:variant>
        <vt:i4>0</vt:i4>
      </vt:variant>
      <vt:variant>
        <vt:i4>5</vt:i4>
      </vt:variant>
      <vt:variant>
        <vt:lpwstr>https://www.codecguinee.org/2023/03/23/guinee-acces-des-femmes-au-foncier-agricole/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Boèboè BEAVOGUI</cp:lastModifiedBy>
  <cp:revision>5</cp:revision>
  <dcterms:created xsi:type="dcterms:W3CDTF">2026-05-08T12:01:00Z</dcterms:created>
  <dcterms:modified xsi:type="dcterms:W3CDTF">2026-05-12T10:53:00Z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0x010100D4E04DF6F3B92E4CA432718FDF133FA0</vt:lpwstr>
  </property>
  <property fmtid="{D5CDD505-2E9C-101B-9397-08002B2CF9AE}" pid="3" name="_dlc_DocIdItemGuid">
    <vt:lpwstr>f4928d9d-1865-467c-9016-6608ff18ed1a</vt:lpwstr>
  </property>
  <property fmtid="{D5CDD505-2E9C-101B-9397-08002B2CF9AE}" pid="4" name="MediaServiceImageTags">
    <vt:lpwstr/>
  </property>
</Properties>
</file>